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67E55">
      <w:pPr>
        <w:pStyle w:val="16"/>
        <w:jc w:val="both"/>
        <w:rPr>
          <w:sz w:val="84"/>
          <w:szCs w:val="84"/>
        </w:rPr>
      </w:pPr>
    </w:p>
    <w:p w14:paraId="05FE6834">
      <w:pPr>
        <w:pStyle w:val="16"/>
        <w:jc w:val="both"/>
        <w:rPr>
          <w:sz w:val="84"/>
          <w:szCs w:val="84"/>
        </w:rPr>
      </w:pPr>
    </w:p>
    <w:p w14:paraId="03550D18">
      <w:pPr>
        <w:pStyle w:val="16"/>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5ED8A19A">
      <w:pPr>
        <w:pStyle w:val="16"/>
        <w:jc w:val="center"/>
        <w:rPr>
          <w:rFonts w:hint="eastAsia" w:ascii="方正小标宋_GBK" w:hAnsi="方正小标宋_GBK" w:eastAsia="方正小标宋_GBK" w:cs="方正小标宋_GBK"/>
          <w:sz w:val="56"/>
          <w:szCs w:val="56"/>
        </w:rPr>
      </w:pPr>
      <w:r>
        <w:rPr>
          <w:rFonts w:hint="eastAsia" w:ascii="Times New Roman" w:hAnsi="Times New Roman" w:eastAsia="方正小标宋简体" w:cs="Times New Roman"/>
          <w:sz w:val="72"/>
          <w:szCs w:val="72"/>
          <w:lang w:eastAsia="zh-CN"/>
        </w:rPr>
        <w:t>永州市数据局（永州市行政审批服务局）</w:t>
      </w:r>
      <w:r>
        <w:rPr>
          <w:rFonts w:ascii="Times New Roman" w:hAnsi="Times New Roman" w:eastAsia="方正小标宋简体" w:cs="Times New Roman"/>
          <w:sz w:val="72"/>
          <w:szCs w:val="72"/>
        </w:rPr>
        <w:t>部门决算</w:t>
      </w:r>
    </w:p>
    <w:p w14:paraId="497DF4FA">
      <w:pPr>
        <w:pStyle w:val="16"/>
        <w:jc w:val="center"/>
        <w:rPr>
          <w:sz w:val="56"/>
          <w:szCs w:val="56"/>
        </w:rPr>
      </w:pPr>
    </w:p>
    <w:p w14:paraId="0CC4272B">
      <w:pPr>
        <w:pStyle w:val="16"/>
        <w:jc w:val="center"/>
        <w:rPr>
          <w:sz w:val="56"/>
          <w:szCs w:val="56"/>
        </w:rPr>
      </w:pPr>
    </w:p>
    <w:p w14:paraId="5B19A4A1">
      <w:pPr>
        <w:pStyle w:val="16"/>
        <w:jc w:val="center"/>
        <w:rPr>
          <w:sz w:val="56"/>
          <w:szCs w:val="56"/>
        </w:rPr>
      </w:pPr>
    </w:p>
    <w:p w14:paraId="1ED8C8DE">
      <w:pPr>
        <w:pStyle w:val="16"/>
        <w:jc w:val="center"/>
        <w:rPr>
          <w:sz w:val="32"/>
          <w:szCs w:val="32"/>
        </w:rPr>
      </w:pPr>
    </w:p>
    <w:p w14:paraId="24247F04">
      <w:pPr>
        <w:pStyle w:val="16"/>
        <w:jc w:val="center"/>
        <w:rPr>
          <w:sz w:val="32"/>
          <w:szCs w:val="32"/>
        </w:rPr>
      </w:pPr>
    </w:p>
    <w:p w14:paraId="089B98B9">
      <w:pPr>
        <w:pStyle w:val="16"/>
        <w:jc w:val="center"/>
        <w:rPr>
          <w:sz w:val="32"/>
          <w:szCs w:val="32"/>
        </w:rPr>
      </w:pPr>
    </w:p>
    <w:p w14:paraId="58129916">
      <w:pPr>
        <w:pStyle w:val="16"/>
        <w:jc w:val="center"/>
        <w:rPr>
          <w:sz w:val="32"/>
          <w:szCs w:val="32"/>
        </w:rPr>
      </w:pPr>
    </w:p>
    <w:p w14:paraId="55E9A4C0">
      <w:pPr>
        <w:pStyle w:val="16"/>
        <w:jc w:val="center"/>
        <w:rPr>
          <w:sz w:val="32"/>
          <w:szCs w:val="32"/>
        </w:rPr>
      </w:pPr>
    </w:p>
    <w:p w14:paraId="319E02BE">
      <w:pPr>
        <w:pStyle w:val="16"/>
        <w:jc w:val="center"/>
        <w:rPr>
          <w:sz w:val="32"/>
          <w:szCs w:val="32"/>
        </w:rPr>
      </w:pPr>
    </w:p>
    <w:p w14:paraId="3A7FA7C0">
      <w:pPr>
        <w:pStyle w:val="16"/>
        <w:jc w:val="center"/>
        <w:rPr>
          <w:sz w:val="32"/>
          <w:szCs w:val="32"/>
        </w:rPr>
      </w:pPr>
    </w:p>
    <w:p w14:paraId="32BB6DF4">
      <w:pPr>
        <w:pStyle w:val="16"/>
        <w:jc w:val="both"/>
        <w:rPr>
          <w:sz w:val="32"/>
          <w:szCs w:val="32"/>
        </w:rPr>
      </w:pPr>
    </w:p>
    <w:p w14:paraId="4D88D05B">
      <w:pPr>
        <w:pStyle w:val="16"/>
        <w:spacing w:line="500" w:lineRule="exact"/>
        <w:jc w:val="both"/>
        <w:rPr>
          <w:b/>
          <w:sz w:val="36"/>
          <w:szCs w:val="28"/>
        </w:rPr>
      </w:pPr>
    </w:p>
    <w:p w14:paraId="0F5B38F0">
      <w:pPr>
        <w:pStyle w:val="16"/>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6CDF6F43">
      <w:pPr>
        <w:pStyle w:val="16"/>
        <w:spacing w:line="600" w:lineRule="exact"/>
        <w:jc w:val="center"/>
        <w:rPr>
          <w:rFonts w:ascii="Times New Roman" w:hAnsi="Times New Roman" w:cs="Times New Roman"/>
          <w:b/>
          <w:sz w:val="36"/>
          <w:szCs w:val="28"/>
        </w:rPr>
      </w:pPr>
    </w:p>
    <w:p w14:paraId="5999010E">
      <w:pPr>
        <w:pStyle w:val="16"/>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val="en-US" w:eastAsia="zh-CN"/>
        </w:rPr>
        <w:t>永州市数据局（永州市行政审批服务局）</w:t>
      </w:r>
      <w:r>
        <w:rPr>
          <w:rFonts w:ascii="Times New Roman" w:hAnsi="Times New Roman" w:cs="Times New Roman"/>
          <w:bCs/>
          <w:sz w:val="32"/>
          <w:szCs w:val="32"/>
        </w:rPr>
        <w:t>概况</w:t>
      </w:r>
    </w:p>
    <w:p w14:paraId="5B8CA46C">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14:paraId="0B5DB72E">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01EE8328">
      <w:pPr>
        <w:pStyle w:val="16"/>
        <w:spacing w:line="500" w:lineRule="exact"/>
        <w:rPr>
          <w:rFonts w:ascii="Times New Roman" w:hAnsi="Times New Roman" w:cs="Times New Roman"/>
          <w:bCs/>
          <w:sz w:val="32"/>
          <w:szCs w:val="32"/>
        </w:rPr>
      </w:pPr>
      <w:r>
        <w:rPr>
          <w:rFonts w:ascii="Times New Roman" w:hAnsi="Times New Roman" w:cs="Times New Roman"/>
          <w:bCs/>
          <w:sz w:val="32"/>
          <w:szCs w:val="32"/>
        </w:rPr>
        <w:t>第二部分 部门决算表</w:t>
      </w:r>
      <w:r>
        <w:rPr>
          <w:rFonts w:hint="eastAsia" w:ascii="仿宋_GB2312" w:hAnsi="仿宋_GB2312" w:eastAsia="仿宋_GB2312" w:cs="仿宋_GB2312"/>
          <w:sz w:val="28"/>
          <w:szCs w:val="28"/>
          <w:lang w:eastAsia="zh-CN"/>
        </w:rPr>
        <w:t>（说明：</w:t>
      </w:r>
      <w:r>
        <w:rPr>
          <w:rFonts w:hint="eastAsia" w:ascii="仿宋_GB2312" w:hAnsi="仿宋_GB2312" w:eastAsia="仿宋_GB2312" w:cs="仿宋_GB2312"/>
          <w:sz w:val="28"/>
          <w:szCs w:val="28"/>
          <w:lang w:val="en-US" w:eastAsia="zh-CN"/>
        </w:rPr>
        <w:t>本套报表金额单位转换时可能存在尾数误差。</w:t>
      </w:r>
      <w:r>
        <w:rPr>
          <w:rFonts w:hint="eastAsia" w:ascii="仿宋_GB2312" w:hAnsi="仿宋_GB2312" w:eastAsia="仿宋_GB2312" w:cs="仿宋_GB2312"/>
          <w:sz w:val="28"/>
          <w:szCs w:val="28"/>
          <w:lang w:eastAsia="zh-CN"/>
        </w:rPr>
        <w:t>）</w:t>
      </w:r>
    </w:p>
    <w:p w14:paraId="2D8E4AB5">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799DE36B">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21C1F47F">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547876BB">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7F58BFBD">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7DBF3FA6">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6D8E1066">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2201F422">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31F3E6CA">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03561A81">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14:paraId="7266F7C1">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6663ECA8">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6ADA515D">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66F3831D">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44B3D0C4">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5A10C67F">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3" w:type="default"/>
          <w:pgSz w:w="11906" w:h="16838"/>
          <w:pgMar w:top="1417" w:right="1588" w:bottom="1417" w:left="1588" w:header="851" w:footer="992" w:gutter="0"/>
          <w:pgNumType w:start="1"/>
          <w:cols w:space="425" w:num="1"/>
          <w:docGrid w:type="lines" w:linePitch="312" w:charSpace="0"/>
        </w:sectPr>
      </w:pPr>
    </w:p>
    <w:p w14:paraId="11DEDE98">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09C010B4">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65D212AF">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2F7B17F3">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九、关于机关运行经费支出说明</w:t>
      </w:r>
    </w:p>
    <w:p w14:paraId="434AD360">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十、一般性支出情况说明</w:t>
      </w:r>
    </w:p>
    <w:p w14:paraId="6104AEE2">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十一、关于政府采购支出说明</w:t>
      </w:r>
    </w:p>
    <w:p w14:paraId="283F02F6">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十二、关于国有资产占用情况说明</w:t>
      </w:r>
    </w:p>
    <w:p w14:paraId="568F5465">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十三、关于2024年度预算绩效管理情况的说明</w:t>
      </w:r>
    </w:p>
    <w:p w14:paraId="3A10B7F4">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58AB8E34">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6FD62234">
      <w:pPr>
        <w:pStyle w:val="16"/>
        <w:spacing w:line="600" w:lineRule="exact"/>
        <w:rPr>
          <w:rFonts w:ascii="Times New Roman" w:hAnsi="Times New Roman" w:cs="Times New Roman"/>
          <w:bCs/>
          <w:sz w:val="28"/>
          <w:szCs w:val="28"/>
        </w:rPr>
      </w:pPr>
    </w:p>
    <w:p w14:paraId="26A9D6E7">
      <w:pPr>
        <w:jc w:val="center"/>
        <w:rPr>
          <w:sz w:val="72"/>
          <w:szCs w:val="72"/>
        </w:rPr>
      </w:pPr>
    </w:p>
    <w:p w14:paraId="7EC65DEC">
      <w:pPr>
        <w:jc w:val="center"/>
        <w:rPr>
          <w:sz w:val="72"/>
          <w:szCs w:val="72"/>
        </w:rPr>
      </w:pPr>
    </w:p>
    <w:p w14:paraId="743A1AC0">
      <w:pPr>
        <w:jc w:val="center"/>
        <w:rPr>
          <w:sz w:val="72"/>
          <w:szCs w:val="72"/>
        </w:rPr>
      </w:pPr>
    </w:p>
    <w:p w14:paraId="144C2E31">
      <w:pPr>
        <w:rPr>
          <w:rFonts w:hint="eastAsia" w:ascii="方正小标宋_GBK" w:hAnsi="方正小标宋_GBK" w:eastAsia="方正小标宋_GBK" w:cs="方正小标宋_GBK"/>
          <w:sz w:val="72"/>
          <w:szCs w:val="72"/>
        </w:rPr>
      </w:pPr>
    </w:p>
    <w:p w14:paraId="1DA30D6D">
      <w:pPr>
        <w:pStyle w:val="16"/>
        <w:jc w:val="center"/>
        <w:rPr>
          <w:rFonts w:hint="eastAsia" w:ascii="方正小标宋_GBK" w:hAnsi="方正小标宋_GBK" w:eastAsia="方正小标宋_GBK" w:cs="方正小标宋_GBK"/>
          <w:sz w:val="84"/>
          <w:szCs w:val="84"/>
        </w:rPr>
      </w:pPr>
    </w:p>
    <w:p w14:paraId="09143DEE">
      <w:pPr>
        <w:pStyle w:val="16"/>
        <w:jc w:val="center"/>
        <w:rPr>
          <w:rFonts w:hint="eastAsia" w:ascii="方正小标宋_GBK" w:hAnsi="方正小标宋_GBK" w:eastAsia="方正小标宋_GBK" w:cs="方正小标宋_GBK"/>
          <w:sz w:val="84"/>
          <w:szCs w:val="84"/>
        </w:rPr>
      </w:pPr>
    </w:p>
    <w:p w14:paraId="6858CA2E">
      <w:pPr>
        <w:pStyle w:val="16"/>
        <w:jc w:val="center"/>
        <w:rPr>
          <w:rFonts w:hint="eastAsia"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 xml:space="preserve">第一部分 </w:t>
      </w:r>
    </w:p>
    <w:p w14:paraId="1FC0BBF7">
      <w:pPr>
        <w:pStyle w:val="16"/>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52"/>
          <w:szCs w:val="52"/>
          <w:lang w:eastAsia="zh-CN"/>
        </w:rPr>
        <w:t>永州市数据局（永州市行政审批服务局）</w:t>
      </w:r>
      <w:r>
        <w:rPr>
          <w:rFonts w:hint="eastAsia" w:ascii="方正小标宋_GBK" w:hAnsi="方正小标宋_GBK" w:eastAsia="方正小标宋_GBK" w:cs="方正小标宋_GBK"/>
          <w:sz w:val="52"/>
          <w:szCs w:val="52"/>
        </w:rPr>
        <w:t>概况</w:t>
      </w:r>
    </w:p>
    <w:p w14:paraId="425EEBB5">
      <w:pPr>
        <w:jc w:val="center"/>
        <w:rPr>
          <w:rFonts w:hint="eastAsia" w:ascii="方正小标宋_GBK" w:hAnsi="方正小标宋_GBK" w:eastAsia="方正小标宋_GBK" w:cs="方正小标宋_GBK"/>
          <w:sz w:val="72"/>
          <w:szCs w:val="72"/>
        </w:rPr>
      </w:pPr>
    </w:p>
    <w:p w14:paraId="41E7B654">
      <w:pPr>
        <w:jc w:val="center"/>
        <w:rPr>
          <w:rFonts w:hint="eastAsia" w:ascii="方正小标宋_GBK" w:hAnsi="方正小标宋_GBK" w:eastAsia="方正小标宋_GBK" w:cs="方正小标宋_GBK"/>
          <w:sz w:val="72"/>
          <w:szCs w:val="72"/>
        </w:rPr>
      </w:pPr>
    </w:p>
    <w:p w14:paraId="00E7230E">
      <w:pPr>
        <w:jc w:val="center"/>
        <w:rPr>
          <w:sz w:val="72"/>
          <w:szCs w:val="72"/>
        </w:rPr>
      </w:pPr>
    </w:p>
    <w:p w14:paraId="4FF290C7">
      <w:pPr>
        <w:jc w:val="center"/>
        <w:rPr>
          <w:sz w:val="72"/>
          <w:szCs w:val="72"/>
        </w:rPr>
      </w:pPr>
    </w:p>
    <w:p w14:paraId="1B9893ED">
      <w:pPr>
        <w:jc w:val="both"/>
        <w:rPr>
          <w:sz w:val="72"/>
          <w:szCs w:val="72"/>
        </w:rPr>
      </w:pPr>
    </w:p>
    <w:p w14:paraId="7C3AEF5E">
      <w:pPr>
        <w:pStyle w:val="17"/>
        <w:numPr>
          <w:ilvl w:val="0"/>
          <w:numId w:val="0"/>
        </w:numPr>
        <w:ind w:leftChars="300" w:firstLine="320" w:firstLineChars="100"/>
        <w:jc w:val="left"/>
        <w:rPr>
          <w:rFonts w:hint="eastAsia" w:ascii="楷体" w:hAnsi="楷体" w:eastAsia="楷体" w:cs="楷体"/>
          <w:b/>
          <w:bCs/>
          <w:sz w:val="32"/>
          <w:szCs w:val="32"/>
        </w:rPr>
      </w:pPr>
    </w:p>
    <w:p w14:paraId="02CBBFC0">
      <w:pPr>
        <w:pStyle w:val="17"/>
        <w:numPr>
          <w:ilvl w:val="0"/>
          <w:numId w:val="0"/>
        </w:numPr>
        <w:ind w:leftChars="300" w:firstLine="320" w:firstLineChars="100"/>
        <w:jc w:val="left"/>
        <w:rPr>
          <w:rFonts w:hint="eastAsia" w:ascii="楷体" w:hAnsi="楷体" w:eastAsia="楷体" w:cs="楷体"/>
          <w:b/>
          <w:bCs/>
          <w:sz w:val="32"/>
          <w:szCs w:val="32"/>
        </w:rPr>
      </w:pPr>
    </w:p>
    <w:p w14:paraId="2663FA1E">
      <w:pPr>
        <w:pStyle w:val="17"/>
        <w:numPr>
          <w:ilvl w:val="0"/>
          <w:numId w:val="0"/>
        </w:numPr>
        <w:ind w:leftChars="300" w:firstLine="320" w:firstLineChars="100"/>
        <w:jc w:val="left"/>
        <w:rPr>
          <w:rFonts w:hint="eastAsia" w:ascii="楷体" w:hAnsi="楷体" w:eastAsia="楷体" w:cs="楷体"/>
          <w:b/>
          <w:bCs/>
          <w:sz w:val="32"/>
          <w:szCs w:val="32"/>
        </w:rPr>
      </w:pPr>
    </w:p>
    <w:p w14:paraId="30CF095A">
      <w:pPr>
        <w:pStyle w:val="17"/>
        <w:numPr>
          <w:ilvl w:val="0"/>
          <w:numId w:val="0"/>
        </w:numPr>
        <w:ind w:leftChars="300" w:firstLine="320" w:firstLineChars="100"/>
        <w:jc w:val="left"/>
        <w:rPr>
          <w:rFonts w:hint="eastAsia" w:ascii="楷体" w:hAnsi="楷体" w:eastAsia="楷体" w:cs="楷体"/>
          <w:b/>
          <w:bCs/>
          <w:sz w:val="32"/>
          <w:szCs w:val="32"/>
        </w:rPr>
      </w:pPr>
    </w:p>
    <w:p w14:paraId="45E5C167">
      <w:pPr>
        <w:pStyle w:val="17"/>
        <w:numPr>
          <w:ilvl w:val="0"/>
          <w:numId w:val="0"/>
        </w:numPr>
        <w:ind w:leftChars="300" w:firstLine="320" w:firstLineChars="100"/>
        <w:jc w:val="left"/>
        <w:rPr>
          <w:rFonts w:hint="eastAsia" w:ascii="楷体" w:hAnsi="楷体" w:eastAsia="楷体" w:cs="楷体"/>
          <w:b/>
          <w:bCs/>
          <w:sz w:val="32"/>
          <w:szCs w:val="32"/>
        </w:rPr>
      </w:pPr>
    </w:p>
    <w:p w14:paraId="6CC6EDEA">
      <w:pPr>
        <w:pStyle w:val="17"/>
        <w:numPr>
          <w:ilvl w:val="0"/>
          <w:numId w:val="0"/>
        </w:numPr>
        <w:ind w:leftChars="300" w:firstLine="320" w:firstLineChars="100"/>
        <w:jc w:val="left"/>
        <w:rPr>
          <w:rFonts w:hint="eastAsia" w:ascii="楷体" w:hAnsi="楷体" w:eastAsia="楷体" w:cs="楷体"/>
          <w:b/>
          <w:bCs/>
          <w:sz w:val="32"/>
          <w:szCs w:val="32"/>
        </w:rPr>
      </w:pPr>
    </w:p>
    <w:p w14:paraId="0CFD1EC0">
      <w:pPr>
        <w:pStyle w:val="17"/>
        <w:numPr>
          <w:ilvl w:val="0"/>
          <w:numId w:val="0"/>
        </w:numPr>
        <w:ind w:firstLine="320" w:firstLineChars="100"/>
        <w:jc w:val="left"/>
        <w:rPr>
          <w:rFonts w:hint="eastAsia" w:ascii="楷体" w:hAnsi="楷体" w:eastAsia="楷体" w:cs="楷体"/>
          <w:b/>
          <w:bCs/>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部门职责</w:t>
      </w:r>
    </w:p>
    <w:p w14:paraId="3CCF1477">
      <w:pPr>
        <w:pStyle w:val="17"/>
        <w:numPr>
          <w:ilvl w:val="0"/>
          <w:numId w:val="0"/>
        </w:numPr>
        <w:ind w:firstLine="640" w:firstLineChars="200"/>
        <w:jc w:val="left"/>
        <w:rPr>
          <w:rFonts w:hint="eastAsia" w:ascii="仿宋" w:hAnsi="仿宋" w:eastAsia="仿宋" w:cs="仿宋"/>
          <w:b w:val="0"/>
          <w:bCs w:val="0"/>
          <w:sz w:val="32"/>
          <w:szCs w:val="32"/>
        </w:rPr>
      </w:pPr>
      <w:r>
        <w:rPr>
          <w:rFonts w:hint="eastAsia" w:ascii="楷体" w:hAnsi="楷体" w:eastAsia="楷体" w:cs="楷体"/>
          <w:b/>
          <w:bCs/>
          <w:sz w:val="32"/>
          <w:szCs w:val="32"/>
        </w:rPr>
        <w:t>（一）</w:t>
      </w:r>
      <w:r>
        <w:rPr>
          <w:rFonts w:hint="eastAsia" w:ascii="仿宋" w:hAnsi="仿宋" w:eastAsia="仿宋" w:cs="仿宋"/>
          <w:b w:val="0"/>
          <w:bCs w:val="0"/>
          <w:sz w:val="32"/>
          <w:szCs w:val="32"/>
        </w:rPr>
        <w:t>推进、指导、协调、监督全市政务公开(政府信息公开、办事公开)和政务服务体系建设。承担市政务公开领导小组办公室的日常工作；拟订全市政务公开、政务服务工作发展规划和年度计划，建立和完善相应工作机制；统筹推进、协调监督市直各部门和各县区、管理区、经开区的政务公开和政务服务工作。</w:t>
      </w:r>
    </w:p>
    <w:p w14:paraId="638323BC">
      <w:pPr>
        <w:pStyle w:val="17"/>
        <w:numPr>
          <w:ilvl w:val="0"/>
          <w:numId w:val="0"/>
        </w:numPr>
        <w:ind w:firstLine="640" w:firstLineChars="200"/>
        <w:jc w:val="left"/>
        <w:rPr>
          <w:rFonts w:hint="eastAsia" w:ascii="仿宋" w:hAnsi="仿宋" w:eastAsia="仿宋" w:cs="仿宋"/>
          <w:b w:val="0"/>
          <w:bCs w:val="0"/>
          <w:sz w:val="32"/>
          <w:szCs w:val="32"/>
        </w:rPr>
      </w:pPr>
      <w:r>
        <w:rPr>
          <w:rFonts w:hint="eastAsia" w:ascii="楷体" w:hAnsi="楷体" w:eastAsia="楷体" w:cs="楷体"/>
          <w:b/>
          <w:bCs/>
          <w:sz w:val="32"/>
          <w:szCs w:val="32"/>
        </w:rPr>
        <w:t>（二）</w:t>
      </w:r>
      <w:r>
        <w:rPr>
          <w:rFonts w:hint="eastAsia" w:ascii="仿宋" w:hAnsi="仿宋" w:eastAsia="仿宋" w:cs="仿宋"/>
          <w:b w:val="0"/>
          <w:bCs w:val="0"/>
          <w:sz w:val="32"/>
          <w:szCs w:val="32"/>
        </w:rPr>
        <w:t>指导、协调、推进全市行政审批制度改革工作。承担市行政审批制度改革领导小组办公室的日常工作；拟订行政审批服务有关制度及管理办法并监督组织实施；牵头负责全市“放管服”改革工作。</w:t>
      </w:r>
    </w:p>
    <w:p w14:paraId="7E668469">
      <w:pPr>
        <w:pStyle w:val="17"/>
        <w:numPr>
          <w:ilvl w:val="0"/>
          <w:numId w:val="0"/>
        </w:numPr>
        <w:ind w:firstLine="640" w:firstLineChars="200"/>
        <w:jc w:val="left"/>
        <w:rPr>
          <w:rFonts w:hint="eastAsia" w:ascii="仿宋" w:hAnsi="仿宋" w:eastAsia="仿宋" w:cs="仿宋"/>
          <w:b w:val="0"/>
          <w:bCs w:val="0"/>
          <w:sz w:val="32"/>
          <w:szCs w:val="32"/>
        </w:rPr>
      </w:pPr>
      <w:r>
        <w:rPr>
          <w:rFonts w:hint="eastAsia" w:ascii="楷体" w:hAnsi="楷体" w:eastAsia="楷体" w:cs="楷体"/>
          <w:b/>
          <w:bCs/>
          <w:sz w:val="32"/>
          <w:szCs w:val="32"/>
        </w:rPr>
        <w:t>（三）</w:t>
      </w:r>
      <w:r>
        <w:rPr>
          <w:rFonts w:hint="eastAsia" w:ascii="仿宋" w:hAnsi="仿宋" w:eastAsia="仿宋" w:cs="仿宋"/>
          <w:b w:val="0"/>
          <w:bCs w:val="0"/>
          <w:sz w:val="32"/>
          <w:szCs w:val="32"/>
        </w:rPr>
        <w:t>统筹协调、规划指导、监督评估全市电子政务工作；统筹推进、协调监督全市“互联网+政务服务”工作；统筹规划、监督考核全市政府系统网站。</w:t>
      </w:r>
    </w:p>
    <w:p w14:paraId="743605EA">
      <w:pPr>
        <w:pStyle w:val="17"/>
        <w:numPr>
          <w:ilvl w:val="0"/>
          <w:numId w:val="0"/>
        </w:numPr>
        <w:ind w:firstLine="640" w:firstLineChars="200"/>
        <w:jc w:val="left"/>
        <w:rPr>
          <w:rFonts w:hint="eastAsia" w:ascii="仿宋" w:hAnsi="仿宋" w:eastAsia="仿宋" w:cs="仿宋"/>
          <w:b w:val="0"/>
          <w:bCs w:val="0"/>
          <w:sz w:val="32"/>
          <w:szCs w:val="32"/>
        </w:rPr>
      </w:pPr>
      <w:r>
        <w:rPr>
          <w:rFonts w:hint="eastAsia" w:ascii="楷体" w:hAnsi="楷体" w:eastAsia="楷体" w:cs="楷体"/>
          <w:b/>
          <w:bCs/>
          <w:sz w:val="32"/>
          <w:szCs w:val="32"/>
        </w:rPr>
        <w:t>（四）</w:t>
      </w:r>
      <w:r>
        <w:rPr>
          <w:rFonts w:hint="eastAsia" w:ascii="仿宋" w:hAnsi="仿宋" w:eastAsia="仿宋" w:cs="仿宋"/>
          <w:b w:val="0"/>
          <w:bCs w:val="0"/>
          <w:sz w:val="32"/>
          <w:szCs w:val="32"/>
        </w:rPr>
        <w:t>统筹协调、规划指导、监督评估全市政务信息化、大数据建设管理和应用等工作；组织协调推进政务数据资源共享和开放工作，统筹政务数据资源的采集、分类、管理、分析和应用工作。</w:t>
      </w:r>
    </w:p>
    <w:p w14:paraId="643CC9A1">
      <w:pPr>
        <w:pStyle w:val="17"/>
        <w:numPr>
          <w:ilvl w:val="0"/>
          <w:numId w:val="0"/>
        </w:numPr>
        <w:ind w:firstLine="640" w:firstLineChars="200"/>
        <w:jc w:val="left"/>
        <w:rPr>
          <w:rFonts w:hint="eastAsia" w:ascii="仿宋" w:hAnsi="仿宋" w:eastAsia="仿宋" w:cs="仿宋"/>
          <w:b w:val="0"/>
          <w:bCs w:val="0"/>
          <w:sz w:val="32"/>
          <w:szCs w:val="32"/>
        </w:rPr>
      </w:pPr>
      <w:r>
        <w:rPr>
          <w:rFonts w:hint="eastAsia" w:ascii="楷体" w:hAnsi="楷体" w:eastAsia="楷体" w:cs="楷体"/>
          <w:b/>
          <w:bCs/>
          <w:sz w:val="32"/>
          <w:szCs w:val="32"/>
        </w:rPr>
        <w:t>（五）</w:t>
      </w:r>
      <w:r>
        <w:rPr>
          <w:rFonts w:hint="eastAsia" w:ascii="仿宋" w:hAnsi="仿宋" w:eastAsia="仿宋" w:cs="仿宋"/>
          <w:b w:val="0"/>
          <w:bCs w:val="0"/>
          <w:sz w:val="32"/>
          <w:szCs w:val="32"/>
        </w:rPr>
        <w:t>承担市优化经济发展环境联席会议办公室的日常工作。负责全市优化营商环境工作的组织实施和监督、检查等工作；维护营商政务、法制、信用等环境；协调推进全市行政效能工作。</w:t>
      </w:r>
    </w:p>
    <w:p w14:paraId="1B69B537">
      <w:pPr>
        <w:pStyle w:val="17"/>
        <w:numPr>
          <w:ilvl w:val="0"/>
          <w:numId w:val="0"/>
        </w:numPr>
        <w:ind w:firstLine="640" w:firstLineChars="200"/>
        <w:jc w:val="left"/>
        <w:rPr>
          <w:rFonts w:hint="eastAsia" w:ascii="仿宋" w:hAnsi="仿宋" w:eastAsia="仿宋" w:cs="仿宋"/>
          <w:b w:val="0"/>
          <w:bCs w:val="0"/>
          <w:sz w:val="32"/>
          <w:szCs w:val="32"/>
        </w:rPr>
      </w:pPr>
      <w:r>
        <w:rPr>
          <w:rFonts w:hint="eastAsia" w:ascii="楷体" w:hAnsi="楷体" w:eastAsia="楷体" w:cs="楷体"/>
          <w:b/>
          <w:bCs/>
          <w:sz w:val="32"/>
          <w:szCs w:val="32"/>
        </w:rPr>
        <w:t>（六）</w:t>
      </w:r>
      <w:r>
        <w:rPr>
          <w:rFonts w:hint="eastAsia" w:ascii="仿宋" w:hAnsi="仿宋" w:eastAsia="仿宋" w:cs="仿宋"/>
          <w:b w:val="0"/>
          <w:bCs w:val="0"/>
          <w:sz w:val="32"/>
          <w:szCs w:val="32"/>
        </w:rPr>
        <w:t>承担市社会信用体系建设领导小组办公室的日常工作。组织协调、监督推进全市有关国家、省社会信用体系建设的法律法规、决策部署的贯彻落实。拟订并组织实施全市社会信用体系建设的总体规划和政策措施；统筹推进统一的信用信息平台建设，促进信用信息资源的整合与运用，协调社会信用体系建设的重大问题；牵头组织对重点领域和严重失信行为实施联合惩戒。</w:t>
      </w:r>
    </w:p>
    <w:p w14:paraId="216077F9">
      <w:pPr>
        <w:pStyle w:val="17"/>
        <w:numPr>
          <w:ilvl w:val="0"/>
          <w:numId w:val="0"/>
        </w:numPr>
        <w:ind w:firstLine="640" w:firstLineChars="200"/>
        <w:jc w:val="left"/>
        <w:rPr>
          <w:rFonts w:hint="eastAsia" w:ascii="仿宋" w:hAnsi="仿宋" w:eastAsia="仿宋" w:cs="仿宋"/>
          <w:b w:val="0"/>
          <w:bCs w:val="0"/>
          <w:sz w:val="32"/>
          <w:szCs w:val="32"/>
        </w:rPr>
      </w:pPr>
      <w:r>
        <w:rPr>
          <w:rFonts w:hint="eastAsia" w:ascii="楷体" w:hAnsi="楷体" w:eastAsia="楷体" w:cs="楷体"/>
          <w:b/>
          <w:bCs/>
          <w:sz w:val="32"/>
          <w:szCs w:val="32"/>
        </w:rPr>
        <w:t>（七）</w:t>
      </w:r>
      <w:r>
        <w:rPr>
          <w:rFonts w:hint="eastAsia" w:ascii="仿宋" w:hAnsi="仿宋" w:eastAsia="仿宋" w:cs="仿宋"/>
          <w:b w:val="0"/>
          <w:bCs w:val="0"/>
          <w:sz w:val="32"/>
          <w:szCs w:val="32"/>
        </w:rPr>
        <w:t>承担市政务联动处置领导小组办公室的日常工作。负责拟订全市政务联动处置和城乡网格化建设管理工作规则；统筹规划、指挥协调、管理督导全市12345公共服务热线、政务联动处置和城乡网格化建设。</w:t>
      </w:r>
    </w:p>
    <w:p w14:paraId="672C89C0">
      <w:pPr>
        <w:pStyle w:val="17"/>
        <w:numPr>
          <w:ilvl w:val="0"/>
          <w:numId w:val="0"/>
        </w:numPr>
        <w:ind w:firstLine="640" w:firstLineChars="200"/>
        <w:jc w:val="left"/>
        <w:rPr>
          <w:rFonts w:hint="eastAsia" w:ascii="黑体" w:hAnsi="黑体" w:eastAsia="黑体" w:cs="黑体"/>
          <w:b w:val="0"/>
          <w:bCs w:val="0"/>
          <w:sz w:val="32"/>
          <w:szCs w:val="32"/>
        </w:rPr>
      </w:pPr>
      <w:r>
        <w:rPr>
          <w:rFonts w:hint="eastAsia" w:ascii="楷体" w:hAnsi="楷体" w:eastAsia="楷体" w:cs="楷体"/>
          <w:b/>
          <w:bCs/>
          <w:sz w:val="32"/>
          <w:szCs w:val="32"/>
        </w:rPr>
        <w:t>（八）</w:t>
      </w:r>
      <w:r>
        <w:rPr>
          <w:rFonts w:hint="eastAsia" w:ascii="仿宋" w:hAnsi="仿宋" w:eastAsia="仿宋" w:cs="仿宋"/>
          <w:b w:val="0"/>
          <w:bCs w:val="0"/>
          <w:sz w:val="32"/>
          <w:szCs w:val="32"/>
        </w:rPr>
        <w:t>完成市委、市人民政府交办的其他任务。</w:t>
      </w:r>
    </w:p>
    <w:p w14:paraId="125723C2">
      <w:pPr>
        <w:widowControl/>
        <w:spacing w:line="600" w:lineRule="exact"/>
        <w:rPr>
          <w:rFonts w:hint="eastAsia" w:ascii="黑体" w:hAnsi="黑体" w:eastAsia="黑体" w:cs="黑体"/>
          <w:b w:val="0"/>
          <w:bCs w:val="0"/>
          <w:kern w:val="0"/>
          <w:sz w:val="32"/>
          <w:szCs w:val="32"/>
        </w:rPr>
      </w:pPr>
      <w:r>
        <w:rPr>
          <w:rFonts w:hint="eastAsia" w:ascii="黑体" w:hAnsi="黑体" w:eastAsia="黑体" w:cs="黑体"/>
          <w:b w:val="0"/>
          <w:bCs w:val="0"/>
          <w:kern w:val="2"/>
          <w:sz w:val="32"/>
          <w:szCs w:val="32"/>
          <w:lang w:val="en-US" w:eastAsia="zh-CN" w:bidi="ar-SA"/>
        </w:rPr>
        <w:t>二、机构设置及决算单位构成</w:t>
      </w:r>
    </w:p>
    <w:p w14:paraId="6B37D3B4">
      <w:pPr>
        <w:pageBreakBefore w:val="0"/>
        <w:widowControl/>
        <w:kinsoku/>
        <w:wordWrap/>
        <w:overflowPunct/>
        <w:topLinePunct w:val="0"/>
        <w:autoSpaceDE/>
        <w:autoSpaceDN/>
        <w:bidi w:val="0"/>
        <w:spacing w:line="560" w:lineRule="exact"/>
        <w:ind w:firstLine="627" w:firstLineChars="196"/>
        <w:jc w:val="left"/>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val="0"/>
          <w:kern w:val="0"/>
          <w:sz w:val="32"/>
          <w:szCs w:val="32"/>
        </w:rPr>
        <w:t>（一）内设机构设置。</w:t>
      </w:r>
      <w:r>
        <w:rPr>
          <w:rFonts w:hint="eastAsia" w:ascii="仿宋_GB2312" w:hAnsi="仿宋_GB2312" w:eastAsia="仿宋_GB2312" w:cs="仿宋_GB2312"/>
          <w:color w:val="000000"/>
          <w:sz w:val="32"/>
          <w:szCs w:val="32"/>
          <w:lang w:eastAsia="zh-CN"/>
        </w:rPr>
        <w:t>永州</w:t>
      </w:r>
      <w:r>
        <w:rPr>
          <w:rFonts w:hint="eastAsia" w:ascii="仿宋_GB2312" w:hAnsi="仿宋_GB2312" w:eastAsia="仿宋_GB2312" w:cs="仿宋_GB2312"/>
          <w:color w:val="000000"/>
          <w:sz w:val="32"/>
          <w:szCs w:val="32"/>
        </w:rPr>
        <w:t>市行政审批服务局于2019年1月13日挂牌正式成立</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2024年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月机构改革</w:t>
      </w:r>
      <w:r>
        <w:rPr>
          <w:rFonts w:hint="eastAsia" w:ascii="仿宋_GB2312" w:hAnsi="仿宋_GB2312" w:eastAsia="仿宋_GB2312" w:cs="仿宋_GB2312"/>
          <w:color w:val="000000"/>
          <w:sz w:val="32"/>
          <w:szCs w:val="32"/>
          <w:lang w:val="en-US" w:eastAsia="zh-CN"/>
        </w:rPr>
        <w:t>成立</w:t>
      </w:r>
      <w:r>
        <w:rPr>
          <w:rFonts w:hint="eastAsia" w:ascii="仿宋_GB2312" w:hAnsi="仿宋_GB2312" w:eastAsia="仿宋_GB2312" w:cs="仿宋_GB2312"/>
          <w:color w:val="000000"/>
          <w:sz w:val="32"/>
          <w:szCs w:val="32"/>
        </w:rPr>
        <w:t>永州市数据局</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加挂永州市行政审批服务局牌子，变为永州市数据局（永州市行政审批服务局），</w:t>
      </w:r>
      <w:r>
        <w:rPr>
          <w:rFonts w:hint="eastAsia" w:ascii="仿宋_GB2312" w:hAnsi="仿宋_GB2312" w:eastAsia="仿宋_GB2312" w:cs="仿宋_GB2312"/>
          <w:color w:val="000000"/>
          <w:sz w:val="32"/>
          <w:szCs w:val="32"/>
        </w:rPr>
        <w:t>为市政府</w:t>
      </w:r>
      <w:r>
        <w:rPr>
          <w:rFonts w:hint="eastAsia" w:ascii="仿宋_GB2312" w:hAnsi="仿宋_GB2312" w:eastAsia="仿宋_GB2312" w:cs="仿宋_GB2312"/>
          <w:color w:val="000000"/>
          <w:sz w:val="32"/>
          <w:szCs w:val="32"/>
          <w:lang w:val="en-US" w:eastAsia="zh-CN"/>
        </w:rPr>
        <w:t>33</w:t>
      </w:r>
      <w:r>
        <w:rPr>
          <w:rFonts w:hint="eastAsia" w:ascii="仿宋_GB2312" w:hAnsi="仿宋_GB2312" w:eastAsia="仿宋_GB2312" w:cs="仿宋_GB2312"/>
          <w:color w:val="000000"/>
          <w:sz w:val="32"/>
          <w:szCs w:val="32"/>
        </w:rPr>
        <w:t>个工作部门之一。正处级行政部门，核定编制</w:t>
      </w:r>
      <w:r>
        <w:rPr>
          <w:rFonts w:hint="eastAsia" w:ascii="仿宋_GB2312" w:hAnsi="仿宋_GB2312" w:eastAsia="仿宋_GB2312" w:cs="仿宋_GB2312"/>
          <w:color w:val="000000"/>
          <w:sz w:val="32"/>
          <w:szCs w:val="32"/>
          <w:lang w:val="en-US" w:eastAsia="zh-CN"/>
        </w:rPr>
        <w:t>19</w:t>
      </w:r>
      <w:r>
        <w:rPr>
          <w:rFonts w:hint="eastAsia" w:ascii="仿宋_GB2312" w:hAnsi="仿宋_GB2312" w:eastAsia="仿宋_GB2312" w:cs="仿宋_GB2312"/>
          <w:color w:val="000000"/>
          <w:sz w:val="32"/>
          <w:szCs w:val="32"/>
        </w:rPr>
        <w:t>名，内设</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个科室：</w:t>
      </w:r>
      <w:r>
        <w:rPr>
          <w:rFonts w:hint="eastAsia" w:ascii="仿宋_GB2312" w:hAnsi="仿宋_GB2312" w:eastAsia="仿宋_GB2312" w:cs="仿宋_GB2312"/>
          <w:b w:val="0"/>
          <w:bCs w:val="0"/>
          <w:color w:val="000000"/>
          <w:sz w:val="32"/>
          <w:szCs w:val="32"/>
          <w:lang w:val="en-US" w:eastAsia="zh-CN"/>
        </w:rPr>
        <w:t>办公室（财务科）、数据资源与规划科、数字经济与基础设施建设科、数字政务科、政务服务与审批制度改革科、社会信用体系建设管理科、政务联动处置科、营商环境科</w:t>
      </w:r>
      <w:r>
        <w:rPr>
          <w:rFonts w:hint="eastAsia" w:ascii="仿宋_GB2312" w:hAnsi="仿宋_GB2312" w:eastAsia="仿宋_GB2312" w:cs="仿宋_GB2312"/>
          <w:color w:val="000000"/>
          <w:sz w:val="32"/>
          <w:szCs w:val="32"/>
        </w:rPr>
        <w:t>，另设机关党委</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人事科</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。下设1个副处级和4个正科级公益一类事业单位，分别是永州市政务服务中心、永州市联动处置指挥中心、永州市人民政府网站、永州市大数据服务中心、永州市优化营商环境和信用体系建设事务中心。</w:t>
      </w:r>
    </w:p>
    <w:p w14:paraId="618C1396">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_GB2312" w:hAnsi="仿宋_GB2312" w:eastAsia="仿宋_GB2312" w:cs="仿宋_GB2312"/>
          <w:b/>
          <w:bCs w:val="0"/>
          <w:color w:val="FF0000"/>
          <w:kern w:val="0"/>
          <w:sz w:val="32"/>
          <w:szCs w:val="32"/>
        </w:rPr>
      </w:pPr>
      <w:r>
        <w:rPr>
          <w:rFonts w:hint="eastAsia" w:ascii="仿宋_GB2312" w:hAnsi="仿宋_GB2312" w:eastAsia="仿宋_GB2312" w:cs="仿宋_GB2312"/>
          <w:color w:val="000000"/>
          <w:sz w:val="32"/>
          <w:szCs w:val="32"/>
        </w:rPr>
        <w:t>永州市</w:t>
      </w:r>
      <w:r>
        <w:rPr>
          <w:rFonts w:hint="eastAsia" w:ascii="仿宋_GB2312" w:hAnsi="仿宋_GB2312" w:eastAsia="仿宋_GB2312" w:cs="仿宋_GB2312"/>
          <w:color w:val="000000"/>
          <w:sz w:val="32"/>
          <w:szCs w:val="32"/>
          <w:lang w:val="en-US" w:eastAsia="zh-CN"/>
        </w:rPr>
        <w:t>数据局（永州市</w:t>
      </w:r>
      <w:r>
        <w:rPr>
          <w:rFonts w:hint="eastAsia" w:ascii="仿宋_GB2312" w:hAnsi="仿宋_GB2312" w:eastAsia="仿宋_GB2312" w:cs="仿宋_GB2312"/>
          <w:color w:val="000000"/>
          <w:sz w:val="32"/>
          <w:szCs w:val="32"/>
        </w:rPr>
        <w:t>行政审批服务局</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核定</w:t>
      </w:r>
      <w:r>
        <w:rPr>
          <w:rFonts w:hint="eastAsia" w:ascii="仿宋_GB2312" w:hAnsi="仿宋_GB2312" w:eastAsia="仿宋_GB2312" w:cs="仿宋_GB2312"/>
          <w:color w:val="000000"/>
          <w:sz w:val="32"/>
          <w:szCs w:val="32"/>
          <w:lang w:val="en-US" w:eastAsia="zh-CN"/>
        </w:rPr>
        <w:t>19</w:t>
      </w:r>
      <w:r>
        <w:rPr>
          <w:rFonts w:hint="eastAsia" w:ascii="仿宋_GB2312" w:hAnsi="仿宋_GB2312" w:eastAsia="仿宋_GB2312" w:cs="仿宋_GB2312"/>
          <w:color w:val="000000"/>
          <w:sz w:val="32"/>
          <w:szCs w:val="32"/>
        </w:rPr>
        <w:t>个行政编制，在编在岗人员21名，其中处级领导11人，科级及以下10人，退休2人。5个下属单位核定编制共65个，</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有人员</w:t>
      </w:r>
      <w:r>
        <w:rPr>
          <w:rFonts w:hint="eastAsia" w:ascii="仿宋_GB2312" w:hAnsi="仿宋_GB2312" w:eastAsia="仿宋_GB2312" w:cs="仿宋_GB2312"/>
          <w:color w:val="000000"/>
          <w:sz w:val="32"/>
          <w:szCs w:val="32"/>
          <w:lang w:val="en-US" w:eastAsia="zh-CN"/>
        </w:rPr>
        <w:t>50</w:t>
      </w:r>
      <w:r>
        <w:rPr>
          <w:rFonts w:hint="eastAsia" w:ascii="仿宋_GB2312" w:hAnsi="仿宋_GB2312" w:eastAsia="仿宋_GB2312" w:cs="仿宋_GB2312"/>
          <w:color w:val="000000"/>
          <w:sz w:val="32"/>
          <w:szCs w:val="32"/>
        </w:rPr>
        <w:t>名：参公事业单位永州市政务服务中心编制20名、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名，退休人员8名；市联动处置指挥中心编制7名、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有在职人员7名；市</w:t>
      </w:r>
      <w:r>
        <w:rPr>
          <w:rFonts w:hint="eastAsia" w:ascii="仿宋_GB2312" w:hAnsi="仿宋_GB2312" w:eastAsia="仿宋_GB2312" w:cs="仿宋_GB2312"/>
          <w:color w:val="000000"/>
          <w:sz w:val="32"/>
          <w:szCs w:val="32"/>
          <w:lang w:val="en-US" w:eastAsia="zh-CN"/>
        </w:rPr>
        <w:t>人民</w:t>
      </w:r>
      <w:r>
        <w:rPr>
          <w:rFonts w:hint="eastAsia" w:ascii="仿宋_GB2312" w:hAnsi="仿宋_GB2312" w:eastAsia="仿宋_GB2312" w:cs="仿宋_GB2312"/>
          <w:color w:val="000000"/>
          <w:sz w:val="32"/>
          <w:szCs w:val="32"/>
        </w:rPr>
        <w:t>政府网站编制7名、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名；市大数据服务中心编制21名、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有在职人员17名，市优化营商环境和信用体系建设事务中心编制10名、现有在职人员10名。综上，我局核定编制共</w:t>
      </w:r>
      <w:r>
        <w:rPr>
          <w:rFonts w:hint="eastAsia" w:ascii="仿宋_GB2312" w:hAnsi="仿宋_GB2312" w:eastAsia="仿宋_GB2312" w:cs="仿宋_GB2312"/>
          <w:color w:val="000000"/>
          <w:sz w:val="32"/>
          <w:szCs w:val="32"/>
          <w:lang w:val="en-US" w:eastAsia="zh-CN"/>
        </w:rPr>
        <w:t>84</w:t>
      </w:r>
      <w:r>
        <w:rPr>
          <w:rFonts w:hint="eastAsia" w:ascii="仿宋_GB2312" w:hAnsi="仿宋_GB2312" w:eastAsia="仿宋_GB2312" w:cs="仿宋_GB2312"/>
          <w:color w:val="000000"/>
          <w:sz w:val="32"/>
          <w:szCs w:val="32"/>
        </w:rPr>
        <w:t>名，2024年末在编在岗人员71名，退休人员10名。2024年年末临聘人员</w:t>
      </w:r>
      <w:r>
        <w:rPr>
          <w:rFonts w:hint="eastAsia" w:ascii="仿宋_GB2312" w:hAnsi="仿宋_GB2312" w:eastAsia="仿宋_GB2312" w:cs="仿宋_GB2312"/>
          <w:color w:val="000000"/>
          <w:sz w:val="32"/>
          <w:szCs w:val="32"/>
          <w:lang w:val="en-US" w:eastAsia="zh-CN"/>
        </w:rPr>
        <w:t>96</w:t>
      </w:r>
      <w:r>
        <w:rPr>
          <w:rFonts w:hint="eastAsia" w:ascii="仿宋_GB2312" w:hAnsi="仿宋_GB2312" w:eastAsia="仿宋_GB2312" w:cs="仿宋_GB2312"/>
          <w:color w:val="000000"/>
          <w:sz w:val="32"/>
          <w:szCs w:val="32"/>
        </w:rPr>
        <w:t>人（含12345话务员和市民中心综合辅助人员等）。</w:t>
      </w:r>
      <w:r>
        <w:rPr>
          <w:rFonts w:hint="eastAsia" w:ascii="仿宋_GB2312" w:hAnsi="仿宋_GB2312" w:eastAsia="仿宋_GB2312" w:cs="仿宋_GB2312"/>
          <w:color w:val="000000"/>
          <w:sz w:val="32"/>
          <w:szCs w:val="32"/>
          <w:lang w:val="en-US" w:eastAsia="zh-CN"/>
        </w:rPr>
        <w:t>2024</w:t>
      </w:r>
      <w:r>
        <w:rPr>
          <w:rFonts w:hint="eastAsia" w:ascii="仿宋_GB2312" w:hAnsi="仿宋_GB2312" w:eastAsia="仿宋_GB2312" w:cs="仿宋_GB2312"/>
          <w:color w:val="000000"/>
          <w:sz w:val="32"/>
          <w:szCs w:val="32"/>
        </w:rPr>
        <w:t>年在编在岗人数71人较上年67增加4人主要原因是通过</w:t>
      </w:r>
      <w:r>
        <w:rPr>
          <w:rFonts w:hint="eastAsia" w:ascii="仿宋_GB2312" w:hAnsi="仿宋_GB2312" w:eastAsia="仿宋_GB2312" w:cs="仿宋_GB2312"/>
          <w:color w:val="000000"/>
          <w:sz w:val="32"/>
          <w:szCs w:val="32"/>
          <w:lang w:val="en-US" w:eastAsia="zh-CN"/>
        </w:rPr>
        <w:t>省考、</w:t>
      </w:r>
      <w:r>
        <w:rPr>
          <w:rFonts w:hint="eastAsia" w:ascii="仿宋_GB2312" w:hAnsi="仿宋_GB2312" w:eastAsia="仿宋_GB2312" w:cs="仿宋_GB2312"/>
          <w:color w:val="000000"/>
          <w:sz w:val="32"/>
          <w:szCs w:val="32"/>
        </w:rPr>
        <w:t>人才引进、遴选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调入等方式综合增加4人。</w:t>
      </w:r>
    </w:p>
    <w:p w14:paraId="0007B57C">
      <w:pPr>
        <w:widowControl/>
        <w:spacing w:line="600" w:lineRule="exact"/>
        <w:ind w:firstLine="640" w:firstLineChars="200"/>
        <w:rPr>
          <w:rFonts w:hint="eastAsia" w:ascii="Times New Roman" w:hAnsi="Times New Roman" w:eastAsia="仿宋_GB2312" w:cs="黑体"/>
          <w:color w:val="000000"/>
          <w:kern w:val="0"/>
          <w:sz w:val="32"/>
          <w:szCs w:val="32"/>
          <w:lang w:val="en-US" w:eastAsia="zh-CN" w:bidi="ar-SA"/>
        </w:rPr>
      </w:pPr>
      <w:r>
        <w:rPr>
          <w:rFonts w:hint="eastAsia" w:ascii="楷体_GB2312" w:hAnsi="楷体_GB2312" w:eastAsia="楷体_GB2312" w:cs="楷体_GB2312"/>
          <w:b/>
          <w:bCs w:val="0"/>
          <w:kern w:val="0"/>
          <w:sz w:val="32"/>
          <w:szCs w:val="32"/>
        </w:rPr>
        <w:t>（二）决算单位构成。</w:t>
      </w:r>
      <w:r>
        <w:rPr>
          <w:rFonts w:hint="eastAsia" w:ascii="仿宋_GB2312" w:hAnsi="仿宋_GB2312" w:eastAsia="仿宋_GB2312" w:cs="仿宋_GB2312"/>
          <w:color w:val="000000"/>
          <w:sz w:val="32"/>
          <w:szCs w:val="32"/>
        </w:rPr>
        <w:t>永州市</w:t>
      </w:r>
      <w:r>
        <w:rPr>
          <w:rFonts w:hint="eastAsia" w:ascii="仿宋_GB2312" w:hAnsi="仿宋_GB2312" w:eastAsia="仿宋_GB2312" w:cs="仿宋_GB2312"/>
          <w:color w:val="000000"/>
          <w:sz w:val="32"/>
          <w:szCs w:val="32"/>
          <w:lang w:val="en-US" w:eastAsia="zh-CN"/>
        </w:rPr>
        <w:t>数据局（永州市</w:t>
      </w:r>
      <w:r>
        <w:rPr>
          <w:rFonts w:hint="eastAsia" w:ascii="仿宋_GB2312" w:hAnsi="仿宋_GB2312" w:eastAsia="仿宋_GB2312" w:cs="仿宋_GB2312"/>
          <w:color w:val="000000"/>
          <w:sz w:val="32"/>
          <w:szCs w:val="32"/>
        </w:rPr>
        <w:t>行政审批服务局</w:t>
      </w:r>
      <w:r>
        <w:rPr>
          <w:rFonts w:hint="eastAsia" w:ascii="仿宋_GB2312" w:hAnsi="仿宋_GB2312" w:eastAsia="仿宋_GB2312" w:cs="仿宋_GB2312"/>
          <w:color w:val="000000"/>
          <w:sz w:val="32"/>
          <w:szCs w:val="32"/>
          <w:lang w:val="en-US" w:eastAsia="zh-CN"/>
        </w:rPr>
        <w:t>）</w:t>
      </w:r>
      <w:r>
        <w:rPr>
          <w:rFonts w:hint="eastAsia" w:ascii="Times New Roman" w:hAnsi="Times New Roman" w:eastAsia="仿宋_GB2312" w:cs="黑体"/>
          <w:color w:val="000000"/>
          <w:kern w:val="0"/>
          <w:sz w:val="32"/>
          <w:szCs w:val="32"/>
          <w:lang w:val="en-US" w:eastAsia="zh-CN" w:bidi="ar-SA"/>
        </w:rPr>
        <w:t>2024年部门决算汇总公开单位构成包括：</w:t>
      </w:r>
      <w:r>
        <w:rPr>
          <w:rFonts w:hint="eastAsia" w:ascii="仿宋_GB2312" w:hAnsi="仿宋_GB2312" w:eastAsia="仿宋_GB2312" w:cs="仿宋_GB2312"/>
          <w:color w:val="000000"/>
          <w:sz w:val="32"/>
          <w:szCs w:val="32"/>
        </w:rPr>
        <w:t>永州市</w:t>
      </w:r>
      <w:r>
        <w:rPr>
          <w:rFonts w:hint="eastAsia" w:ascii="仿宋_GB2312" w:hAnsi="仿宋_GB2312" w:eastAsia="仿宋_GB2312" w:cs="仿宋_GB2312"/>
          <w:color w:val="000000"/>
          <w:sz w:val="32"/>
          <w:szCs w:val="32"/>
          <w:lang w:val="en-US" w:eastAsia="zh-CN"/>
        </w:rPr>
        <w:t>数据局（永州市</w:t>
      </w:r>
      <w:r>
        <w:rPr>
          <w:rFonts w:hint="eastAsia" w:ascii="仿宋_GB2312" w:hAnsi="仿宋_GB2312" w:eastAsia="仿宋_GB2312" w:cs="仿宋_GB2312"/>
          <w:color w:val="000000"/>
          <w:sz w:val="32"/>
          <w:szCs w:val="32"/>
        </w:rPr>
        <w:t>行政审批服务局</w:t>
      </w:r>
      <w:r>
        <w:rPr>
          <w:rFonts w:hint="eastAsia" w:ascii="仿宋_GB2312" w:hAnsi="仿宋_GB2312" w:eastAsia="仿宋_GB2312" w:cs="仿宋_GB2312"/>
          <w:color w:val="000000"/>
          <w:sz w:val="32"/>
          <w:szCs w:val="32"/>
          <w:lang w:val="en-US" w:eastAsia="zh-CN"/>
        </w:rPr>
        <w:t>）</w:t>
      </w:r>
      <w:r>
        <w:rPr>
          <w:rFonts w:hint="eastAsia" w:ascii="Times New Roman" w:hAnsi="Times New Roman" w:eastAsia="仿宋_GB2312" w:cs="黑体"/>
          <w:color w:val="000000"/>
          <w:kern w:val="0"/>
          <w:sz w:val="32"/>
          <w:szCs w:val="32"/>
          <w:lang w:val="en-US" w:eastAsia="zh-CN" w:bidi="ar-SA"/>
        </w:rPr>
        <w:t>本级，无编报范围的二级下属单位。</w:t>
      </w:r>
    </w:p>
    <w:p w14:paraId="79BDC236">
      <w:pPr>
        <w:jc w:val="left"/>
        <w:rPr>
          <w:rFonts w:ascii="仿宋_GB2312" w:eastAsia="仿宋_GB2312" w:hAnsiTheme="minorEastAsia"/>
          <w:sz w:val="28"/>
          <w:szCs w:val="32"/>
        </w:rPr>
      </w:pPr>
    </w:p>
    <w:p w14:paraId="4B8E20B9">
      <w:pPr>
        <w:jc w:val="left"/>
        <w:rPr>
          <w:rFonts w:ascii="仿宋_GB2312" w:eastAsia="仿宋_GB2312" w:hAnsiTheme="minorEastAsia"/>
          <w:sz w:val="28"/>
          <w:szCs w:val="32"/>
        </w:rPr>
      </w:pPr>
    </w:p>
    <w:p w14:paraId="51E1677C">
      <w:pPr>
        <w:jc w:val="center"/>
        <w:rPr>
          <w:rFonts w:ascii="黑体" w:hAnsi="黑体" w:eastAsia="黑体"/>
          <w:sz w:val="28"/>
          <w:szCs w:val="28"/>
        </w:rPr>
      </w:pPr>
    </w:p>
    <w:p w14:paraId="40492227">
      <w:pPr>
        <w:jc w:val="center"/>
        <w:rPr>
          <w:rFonts w:ascii="黑体" w:hAnsi="黑体" w:eastAsia="黑体"/>
          <w:sz w:val="28"/>
          <w:szCs w:val="28"/>
        </w:rPr>
      </w:pPr>
    </w:p>
    <w:p w14:paraId="710A87BE">
      <w:pPr>
        <w:jc w:val="center"/>
        <w:rPr>
          <w:rFonts w:ascii="黑体" w:hAnsi="黑体" w:eastAsia="黑体"/>
          <w:sz w:val="28"/>
          <w:szCs w:val="28"/>
        </w:rPr>
      </w:pPr>
    </w:p>
    <w:p w14:paraId="4B7E8322">
      <w:pPr>
        <w:jc w:val="center"/>
        <w:rPr>
          <w:rFonts w:ascii="黑体" w:hAnsi="黑体" w:eastAsia="黑体"/>
          <w:sz w:val="28"/>
          <w:szCs w:val="28"/>
        </w:rPr>
      </w:pPr>
    </w:p>
    <w:p w14:paraId="739F64EA">
      <w:pPr>
        <w:jc w:val="center"/>
        <w:rPr>
          <w:rFonts w:ascii="黑体" w:hAnsi="黑体" w:eastAsia="黑体"/>
          <w:sz w:val="28"/>
          <w:szCs w:val="28"/>
        </w:rPr>
      </w:pPr>
    </w:p>
    <w:p w14:paraId="69DB4BD1">
      <w:pPr>
        <w:jc w:val="center"/>
        <w:rPr>
          <w:rFonts w:ascii="黑体" w:hAnsi="黑体" w:eastAsia="黑体"/>
          <w:sz w:val="28"/>
          <w:szCs w:val="28"/>
        </w:rPr>
      </w:pPr>
    </w:p>
    <w:p w14:paraId="4819FE1E">
      <w:pPr>
        <w:pStyle w:val="16"/>
        <w:jc w:val="both"/>
        <w:rPr>
          <w:rFonts w:hint="eastAsia" w:ascii="方正小标宋_GBK" w:hAnsi="方正小标宋_GBK" w:eastAsia="方正小标宋_GBK" w:cs="方正小标宋_GBK"/>
          <w:sz w:val="84"/>
          <w:szCs w:val="84"/>
        </w:rPr>
      </w:pPr>
    </w:p>
    <w:p w14:paraId="14630D40">
      <w:pPr>
        <w:pStyle w:val="16"/>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第二部分    部门决算表</w:t>
      </w:r>
    </w:p>
    <w:p w14:paraId="0EDE4ECD">
      <w:pPr>
        <w:pStyle w:val="16"/>
        <w:jc w:val="center"/>
        <w:rPr>
          <w:rFonts w:hint="eastAsia" w:ascii="方正小标宋_GBK" w:hAnsi="方正小标宋_GBK" w:eastAsia="方正小标宋_GBK" w:cs="方正小标宋_GBK"/>
          <w:sz w:val="52"/>
          <w:szCs w:val="52"/>
          <w:lang w:val="en-US" w:eastAsia="zh-CN"/>
        </w:rPr>
      </w:pPr>
      <w:r>
        <w:rPr>
          <w:rFonts w:hint="eastAsia" w:ascii="方正小标宋_GBK" w:hAnsi="方正小标宋_GBK" w:eastAsia="方正小标宋_GBK" w:cs="方正小标宋_GBK"/>
          <w:sz w:val="52"/>
          <w:szCs w:val="52"/>
          <w:lang w:val="en-US" w:eastAsia="zh-CN"/>
        </w:rPr>
        <w:t>（详见附表）</w:t>
      </w:r>
    </w:p>
    <w:p w14:paraId="30B41D11">
      <w:pPr>
        <w:pStyle w:val="16"/>
        <w:jc w:val="center"/>
        <w:rPr>
          <w:rFonts w:hint="eastAsia" w:ascii="方正小标宋_GBK" w:hAnsi="方正小标宋_GBK" w:eastAsia="方正小标宋_GBK" w:cs="方正小标宋_GBK"/>
          <w:sz w:val="84"/>
          <w:szCs w:val="84"/>
        </w:rPr>
      </w:pPr>
    </w:p>
    <w:p w14:paraId="5F9D3616">
      <w:pPr>
        <w:jc w:val="center"/>
        <w:rPr>
          <w:sz w:val="72"/>
          <w:szCs w:val="72"/>
        </w:rPr>
      </w:pPr>
    </w:p>
    <w:p w14:paraId="4E832D88">
      <w:pPr>
        <w:pStyle w:val="16"/>
        <w:rPr>
          <w:sz w:val="72"/>
          <w:szCs w:val="72"/>
        </w:rPr>
      </w:pPr>
    </w:p>
    <w:p w14:paraId="100B2D4A">
      <w:pPr>
        <w:pStyle w:val="16"/>
        <w:rPr>
          <w:sz w:val="72"/>
          <w:szCs w:val="72"/>
        </w:rPr>
      </w:pPr>
    </w:p>
    <w:p w14:paraId="48F550E2">
      <w:pPr>
        <w:pStyle w:val="16"/>
        <w:jc w:val="center"/>
        <w:rPr>
          <w:sz w:val="72"/>
          <w:szCs w:val="72"/>
        </w:rPr>
      </w:pPr>
    </w:p>
    <w:p w14:paraId="739DB485">
      <w:pPr>
        <w:pStyle w:val="16"/>
        <w:jc w:val="center"/>
        <w:rPr>
          <w:sz w:val="72"/>
          <w:szCs w:val="72"/>
        </w:rPr>
      </w:pPr>
    </w:p>
    <w:p w14:paraId="60A46584">
      <w:pPr>
        <w:pStyle w:val="16"/>
        <w:jc w:val="center"/>
        <w:rPr>
          <w:rFonts w:hint="eastAsia" w:ascii="方正小标宋_GBK" w:hAnsi="方正小标宋_GBK" w:eastAsia="方正小标宋_GBK" w:cs="方正小标宋_GBK"/>
          <w:sz w:val="72"/>
          <w:szCs w:val="72"/>
        </w:rPr>
      </w:pPr>
    </w:p>
    <w:p w14:paraId="57BEFD85">
      <w:pPr>
        <w:pStyle w:val="16"/>
        <w:jc w:val="both"/>
        <w:rPr>
          <w:rFonts w:hint="eastAsia" w:ascii="方正小标宋_GBK" w:hAnsi="方正小标宋_GBK" w:eastAsia="方正小标宋_GBK" w:cs="方正小标宋_GBK"/>
          <w:sz w:val="72"/>
          <w:szCs w:val="72"/>
        </w:rPr>
      </w:pPr>
    </w:p>
    <w:p w14:paraId="0F97BD30">
      <w:pPr>
        <w:pStyle w:val="16"/>
        <w:jc w:val="center"/>
        <w:rPr>
          <w:rFonts w:hint="eastAsia" w:ascii="方正小标宋_GBK" w:hAnsi="方正小标宋_GBK" w:eastAsia="方正小标宋_GBK" w:cs="方正小标宋_GBK"/>
          <w:sz w:val="72"/>
          <w:szCs w:val="72"/>
        </w:rPr>
      </w:pPr>
    </w:p>
    <w:p w14:paraId="301169E4">
      <w:pPr>
        <w:pStyle w:val="16"/>
        <w:jc w:val="center"/>
        <w:rPr>
          <w:rFonts w:hint="eastAsia" w:ascii="方正小标宋_GBK" w:hAnsi="方正小标宋_GBK" w:eastAsia="方正小标宋_GBK" w:cs="方正小标宋_GBK"/>
          <w:sz w:val="72"/>
          <w:szCs w:val="72"/>
        </w:rPr>
      </w:pPr>
    </w:p>
    <w:p w14:paraId="0C4174D7">
      <w:pPr>
        <w:pStyle w:val="16"/>
        <w:jc w:val="center"/>
        <w:rPr>
          <w:rFonts w:hint="eastAsia" w:ascii="方正小标宋_GBK" w:hAnsi="方正小标宋_GBK" w:eastAsia="方正小标宋_GBK" w:cs="方正小标宋_GBK"/>
          <w:sz w:val="72"/>
          <w:szCs w:val="72"/>
        </w:rPr>
      </w:pPr>
    </w:p>
    <w:p w14:paraId="03BACA4F">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239B26B7">
      <w:pPr>
        <w:pStyle w:val="16"/>
        <w:jc w:val="center"/>
        <w:rPr>
          <w:rFonts w:hint="eastAsia" w:ascii="方正小标宋_GBK" w:hAnsi="方正小标宋_GBK" w:eastAsia="方正小标宋_GBK" w:cs="方正小标宋_GBK"/>
          <w:sz w:val="70"/>
          <w:szCs w:val="70"/>
        </w:rPr>
      </w:pPr>
      <w:r>
        <w:rPr>
          <w:rFonts w:ascii="Times New Roman" w:hAnsi="Times New Roman" w:eastAsia="方正小标宋_GBK" w:cs="Times New Roman"/>
          <w:sz w:val="52"/>
          <w:szCs w:val="52"/>
        </w:rPr>
        <w:t>2024年度部门决算情况说明</w:t>
      </w:r>
    </w:p>
    <w:p w14:paraId="3D7F2F23">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38E32E2C">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10414010">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eastAsia="仿宋_GB2312"/>
          <w:snapToGrid w:val="0"/>
          <w:kern w:val="0"/>
          <w:sz w:val="32"/>
          <w:szCs w:val="32"/>
          <w:lang w:val="en-US"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w:t>
      </w:r>
      <w:r>
        <w:rPr>
          <w:rFonts w:hint="eastAsia" w:ascii="Times New Roman" w:hAnsi="Times New Roman" w:eastAsia="仿宋_GB2312"/>
          <w:sz w:val="32"/>
          <w:szCs w:val="32"/>
          <w:lang w:eastAsia="zh-CN"/>
        </w:rPr>
        <w:t>入</w:t>
      </w:r>
      <w:r>
        <w:rPr>
          <w:rFonts w:hint="eastAsia" w:ascii="Times New Roman" w:hAnsi="Times New Roman" w:eastAsia="仿宋_GB2312"/>
          <w:sz w:val="32"/>
          <w:szCs w:val="32"/>
        </w:rPr>
        <w:t>总计</w:t>
      </w:r>
      <w:r>
        <w:rPr>
          <w:rFonts w:hint="eastAsia" w:ascii="Times New Roman" w:hAnsi="Times New Roman" w:eastAsia="仿宋_GB2312"/>
          <w:sz w:val="32"/>
          <w:szCs w:val="32"/>
          <w:lang w:val="en-US" w:eastAsia="zh-CN"/>
        </w:rPr>
        <w:t>3983.10</w:t>
      </w:r>
      <w:r>
        <w:rPr>
          <w:rFonts w:hint="eastAsia" w:ascii="Times New Roman" w:hAnsi="Times New Roman" w:eastAsia="仿宋_GB2312"/>
          <w:sz w:val="32"/>
          <w:szCs w:val="32"/>
        </w:rPr>
        <w:t>万元。与上年相比，</w:t>
      </w:r>
      <w:bookmarkStart w:id="0" w:name="OLE_LINK3"/>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537.38</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11.89</w:t>
      </w:r>
      <w:r>
        <w:rPr>
          <w:rFonts w:hint="eastAsia" w:ascii="Times New Roman" w:hAnsi="Times New Roman" w:eastAsia="仿宋_GB2312"/>
          <w:sz w:val="32"/>
          <w:szCs w:val="32"/>
        </w:rPr>
        <w:t>%，</w:t>
      </w:r>
      <w:bookmarkEnd w:id="0"/>
      <w:r>
        <w:rPr>
          <w:rFonts w:hint="eastAsia" w:ascii="Times New Roman" w:hAnsi="Times New Roman" w:eastAsia="仿宋_GB2312"/>
          <w:sz w:val="32"/>
          <w:szCs w:val="32"/>
        </w:rPr>
        <w:t>主要是因为</w:t>
      </w:r>
      <w:bookmarkStart w:id="1" w:name="OLE_LINK4"/>
      <w:r>
        <w:rPr>
          <w:rFonts w:hint="eastAsia" w:ascii="仿宋_GB2312" w:eastAsia="仿宋_GB2312"/>
          <w:snapToGrid w:val="0"/>
          <w:kern w:val="0"/>
          <w:sz w:val="32"/>
          <w:szCs w:val="32"/>
          <w:lang w:val="en-US" w:eastAsia="zh-CN"/>
        </w:rPr>
        <w:t>一是2024年年中追加支出的信息化项目款较2023年少近400万元，二是2024年只发放了2023年一年的年终绩效考核奖金及未发放离退休人员生活补贴，而2023年发发放了2021和2022年两年的年终绩效考核奖金及离退休人员生活补贴，2024年人员支出较2023年减少100多万。</w:t>
      </w:r>
    </w:p>
    <w:p w14:paraId="1188B6FA">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eastAsia="仿宋_GB2312"/>
          <w:snapToGrid w:val="0"/>
          <w:kern w:val="0"/>
          <w:sz w:val="32"/>
          <w:szCs w:val="32"/>
          <w:lang w:val="en-US"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总计</w:t>
      </w:r>
      <w:r>
        <w:rPr>
          <w:rFonts w:hint="eastAsia" w:ascii="Times New Roman" w:hAnsi="Times New Roman" w:eastAsia="仿宋_GB2312"/>
          <w:sz w:val="32"/>
          <w:szCs w:val="32"/>
          <w:lang w:val="en-US" w:eastAsia="zh-CN"/>
        </w:rPr>
        <w:t>3983.10</w:t>
      </w:r>
      <w:r>
        <w:rPr>
          <w:rFonts w:hint="eastAsia" w:ascii="Times New Roman" w:hAnsi="Times New Roman" w:eastAsia="仿宋_GB2312"/>
          <w:sz w:val="32"/>
          <w:szCs w:val="32"/>
        </w:rPr>
        <w:t>万元。与上年相比，</w:t>
      </w:r>
      <w:bookmarkEnd w:id="1"/>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537.38</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11.89</w:t>
      </w:r>
      <w:r>
        <w:rPr>
          <w:rFonts w:hint="eastAsia" w:ascii="Times New Roman" w:hAnsi="Times New Roman" w:eastAsia="仿宋_GB2312"/>
          <w:sz w:val="32"/>
          <w:szCs w:val="32"/>
        </w:rPr>
        <w:t>%，主要是因为</w:t>
      </w:r>
      <w:r>
        <w:rPr>
          <w:rFonts w:hint="eastAsia" w:ascii="仿宋_GB2312" w:eastAsia="仿宋_GB2312"/>
          <w:snapToGrid w:val="0"/>
          <w:kern w:val="0"/>
          <w:sz w:val="32"/>
          <w:szCs w:val="32"/>
          <w:lang w:val="en-US" w:eastAsia="zh-CN"/>
        </w:rPr>
        <w:t>一是2024年年中追加支出的信息化项目款较2023年少近400万元，二是2024年只发放了2023年一年的年终绩效考核奖金及未发放离退休人员生活补贴，而2023年发发放了2021和2022年两年的年终绩效考核奖金及离退休人员生活补贴，2024年人员支出较2023年减少100多万。</w:t>
      </w:r>
    </w:p>
    <w:p w14:paraId="7BCBA43E">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26E2C467">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3983.10</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3398.35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85.32</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584.75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14.68</w:t>
      </w:r>
      <w:r>
        <w:rPr>
          <w:rFonts w:hint="eastAsia" w:ascii="Times New Roman" w:hAnsi="Times New Roman" w:eastAsia="仿宋_GB2312"/>
          <w:sz w:val="32"/>
          <w:szCs w:val="32"/>
        </w:rPr>
        <w:t>%。</w:t>
      </w:r>
    </w:p>
    <w:p w14:paraId="73F7D2C9">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6CACC068">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3983.10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1586.75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39.84</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2396.35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60.16</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2B7CB156">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7FE3DF04">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年度财政拨款收</w:t>
      </w:r>
      <w:r>
        <w:rPr>
          <w:rFonts w:hint="eastAsia" w:ascii="Times New Roman" w:hAnsi="Times New Roman" w:eastAsia="仿宋_GB2312"/>
          <w:sz w:val="32"/>
          <w:szCs w:val="32"/>
          <w:lang w:eastAsia="zh-CN"/>
        </w:rPr>
        <w:t>入</w:t>
      </w:r>
      <w:r>
        <w:rPr>
          <w:rFonts w:hint="eastAsia" w:ascii="Times New Roman" w:hAnsi="Times New Roman" w:eastAsia="仿宋_GB2312"/>
          <w:sz w:val="32"/>
          <w:szCs w:val="32"/>
        </w:rPr>
        <w:t>总计</w:t>
      </w:r>
      <w:r>
        <w:rPr>
          <w:rFonts w:hint="eastAsia" w:ascii="Times New Roman" w:hAnsi="Times New Roman" w:eastAsia="仿宋_GB2312"/>
          <w:sz w:val="32"/>
          <w:szCs w:val="32"/>
          <w:lang w:val="en-US" w:eastAsia="zh-CN"/>
        </w:rPr>
        <w:t>3398.35</w:t>
      </w:r>
      <w:r>
        <w:rPr>
          <w:rFonts w:hint="eastAsia" w:ascii="Times New Roman" w:hAnsi="Times New Roman" w:eastAsia="仿宋_GB2312"/>
          <w:sz w:val="32"/>
          <w:szCs w:val="32"/>
        </w:rPr>
        <w:t>万元，与上年相比，</w:t>
      </w:r>
      <w:bookmarkStart w:id="2" w:name="OLE_LINK6"/>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1065.99</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23.88</w:t>
      </w:r>
      <w:r>
        <w:rPr>
          <w:rFonts w:hint="eastAsia" w:ascii="Times New Roman" w:hAnsi="Times New Roman" w:eastAsia="仿宋_GB2312"/>
          <w:sz w:val="32"/>
          <w:szCs w:val="32"/>
        </w:rPr>
        <w:t>%，</w:t>
      </w:r>
      <w:bookmarkEnd w:id="2"/>
      <w:r>
        <w:rPr>
          <w:rFonts w:hint="eastAsia" w:ascii="Times New Roman" w:hAnsi="Times New Roman" w:eastAsia="仿宋_GB2312"/>
          <w:sz w:val="32"/>
          <w:szCs w:val="32"/>
        </w:rPr>
        <w:t>主要是因为</w:t>
      </w:r>
      <w:bookmarkStart w:id="3" w:name="OLE_LINK10"/>
      <w:r>
        <w:rPr>
          <w:rFonts w:hint="eastAsia" w:ascii="仿宋_GB2312" w:eastAsia="仿宋_GB2312"/>
          <w:snapToGrid w:val="0"/>
          <w:kern w:val="0"/>
          <w:sz w:val="32"/>
          <w:szCs w:val="32"/>
          <w:lang w:val="en-US" w:eastAsia="zh-CN"/>
        </w:rPr>
        <w:t>2024年年中追加支出的信息化的项目款较2023年有所减少</w:t>
      </w:r>
      <w:r>
        <w:rPr>
          <w:rFonts w:hint="eastAsia" w:ascii="Times New Roman" w:hAnsi="Times New Roman" w:eastAsia="仿宋_GB2312"/>
          <w:sz w:val="32"/>
          <w:szCs w:val="32"/>
          <w:lang w:eastAsia="zh-CN"/>
        </w:rPr>
        <w:t>。</w:t>
      </w:r>
      <w:bookmarkEnd w:id="3"/>
    </w:p>
    <w:p w14:paraId="342FD68B">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总计</w:t>
      </w:r>
      <w:r>
        <w:rPr>
          <w:rFonts w:hint="eastAsia" w:ascii="Times New Roman" w:hAnsi="Times New Roman" w:eastAsia="仿宋_GB2312"/>
          <w:sz w:val="32"/>
          <w:szCs w:val="32"/>
          <w:lang w:val="en-US" w:eastAsia="zh-CN"/>
        </w:rPr>
        <w:t>3398.35</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1065.99</w:t>
      </w:r>
      <w:r>
        <w:rPr>
          <w:rFonts w:hint="eastAsia" w:ascii="Times New Roman" w:hAnsi="Times New Roman" w:eastAsia="仿宋_GB2312"/>
          <w:sz w:val="32"/>
          <w:szCs w:val="32"/>
        </w:rPr>
        <w:t>万元,</w:t>
      </w:r>
      <w:bookmarkStart w:id="4" w:name="OLE_LINK8"/>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23.88</w:t>
      </w:r>
      <w:r>
        <w:rPr>
          <w:rFonts w:hint="eastAsia" w:ascii="Times New Roman" w:hAnsi="Times New Roman" w:eastAsia="仿宋_GB2312"/>
          <w:sz w:val="32"/>
          <w:szCs w:val="32"/>
        </w:rPr>
        <w:t>%，</w:t>
      </w:r>
      <w:bookmarkEnd w:id="4"/>
      <w:r>
        <w:rPr>
          <w:rFonts w:hint="eastAsia" w:ascii="Times New Roman" w:hAnsi="Times New Roman" w:eastAsia="仿宋_GB2312"/>
          <w:sz w:val="32"/>
          <w:szCs w:val="32"/>
        </w:rPr>
        <w:t>主要是因为</w:t>
      </w:r>
      <w:r>
        <w:rPr>
          <w:rFonts w:hint="eastAsia" w:ascii="仿宋_GB2312" w:eastAsia="仿宋_GB2312"/>
          <w:snapToGrid w:val="0"/>
          <w:kern w:val="0"/>
          <w:sz w:val="32"/>
          <w:szCs w:val="32"/>
          <w:lang w:val="en-US" w:eastAsia="zh-CN"/>
        </w:rPr>
        <w:t>2024年年中追加支出的信息化的项目款较2023年有所减少</w:t>
      </w:r>
      <w:r>
        <w:rPr>
          <w:rFonts w:hint="eastAsia" w:ascii="Times New Roman" w:hAnsi="Times New Roman" w:eastAsia="仿宋_GB2312"/>
          <w:sz w:val="32"/>
          <w:szCs w:val="32"/>
          <w:lang w:eastAsia="zh-CN"/>
        </w:rPr>
        <w:t>。</w:t>
      </w:r>
    </w:p>
    <w:p w14:paraId="758CFC19">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B3E4339">
      <w:pPr>
        <w:pStyle w:val="16"/>
        <w:keepNext w:val="0"/>
        <w:keepLines w:val="0"/>
        <w:pageBreakBefore w:val="0"/>
        <w:widowControl w:val="0"/>
        <w:numPr>
          <w:ilvl w:val="0"/>
          <w:numId w:val="1"/>
        </w:numPr>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lang w:eastAsia="zh-CN"/>
        </w:rPr>
        <w:t>一般公共预算</w:t>
      </w:r>
      <w:r>
        <w:rPr>
          <w:rFonts w:hint="eastAsia" w:ascii="楷体_GB2312" w:hAnsi="楷体_GB2312" w:eastAsia="楷体_GB2312" w:cs="楷体_GB2312"/>
          <w:b/>
          <w:bCs w:val="0"/>
          <w:sz w:val="32"/>
          <w:szCs w:val="32"/>
        </w:rPr>
        <w:t>财政拨款支出决算总体情况</w:t>
      </w:r>
    </w:p>
    <w:p w14:paraId="588BC72E">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3398.35</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85.32</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1065.99</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23.88</w:t>
      </w:r>
      <w:r>
        <w:rPr>
          <w:rFonts w:hint="eastAsia" w:ascii="Times New Roman" w:hAnsi="Times New Roman" w:eastAsia="仿宋_GB2312"/>
          <w:sz w:val="32"/>
          <w:szCs w:val="32"/>
        </w:rPr>
        <w:t>%，主要是因为</w:t>
      </w:r>
      <w:r>
        <w:rPr>
          <w:rFonts w:hint="eastAsia" w:ascii="仿宋_GB2312" w:eastAsia="仿宋_GB2312"/>
          <w:snapToGrid w:val="0"/>
          <w:kern w:val="0"/>
          <w:sz w:val="32"/>
          <w:szCs w:val="32"/>
          <w:lang w:val="en-US" w:eastAsia="zh-CN"/>
        </w:rPr>
        <w:t>2024年年中追加支出的信息化的项目款较2023年有所减少</w:t>
      </w:r>
      <w:r>
        <w:rPr>
          <w:rFonts w:hint="eastAsia" w:ascii="Times New Roman" w:hAnsi="Times New Roman" w:eastAsia="仿宋_GB2312"/>
          <w:sz w:val="32"/>
          <w:szCs w:val="32"/>
          <w:lang w:eastAsia="zh-CN"/>
        </w:rPr>
        <w:t>。</w:t>
      </w:r>
    </w:p>
    <w:p w14:paraId="262AE79B">
      <w:pPr>
        <w:pStyle w:val="16"/>
        <w:keepNext w:val="0"/>
        <w:keepLines w:val="0"/>
        <w:pageBreakBefore w:val="0"/>
        <w:widowControl w:val="0"/>
        <w:kinsoku/>
        <w:wordWrap/>
        <w:overflowPunct/>
        <w:topLinePunct w:val="0"/>
        <w:bidi w:val="0"/>
        <w:snapToGrid/>
        <w:spacing w:line="600" w:lineRule="exact"/>
        <w:ind w:firstLine="320" w:firstLineChars="1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（二）</w:t>
      </w:r>
      <w:r>
        <w:rPr>
          <w:rFonts w:hint="eastAsia" w:ascii="楷体_GB2312" w:hAnsi="楷体_GB2312" w:eastAsia="楷体_GB2312" w:cs="楷体_GB2312"/>
          <w:b/>
          <w:bCs w:val="0"/>
          <w:sz w:val="32"/>
          <w:szCs w:val="32"/>
          <w:lang w:eastAsia="zh-CN"/>
        </w:rPr>
        <w:t>一般公共预算</w:t>
      </w:r>
      <w:r>
        <w:rPr>
          <w:rFonts w:hint="eastAsia" w:ascii="楷体_GB2312" w:hAnsi="楷体_GB2312" w:eastAsia="楷体_GB2312" w:cs="楷体_GB2312"/>
          <w:b/>
          <w:bCs w:val="0"/>
          <w:sz w:val="32"/>
          <w:szCs w:val="32"/>
        </w:rPr>
        <w:t>财政拨款支出决算结构情况</w:t>
      </w:r>
    </w:p>
    <w:p w14:paraId="0676CF10">
      <w:pPr>
        <w:pStyle w:val="16"/>
        <w:ind w:firstLine="640" w:firstLineChars="200"/>
        <w:rPr>
          <w:rFonts w:hint="eastAsia" w:asciiTheme="minorEastAsia" w:hAnsiTheme="minorEastAsia" w:eastAsiaTheme="minorEastAsia"/>
          <w:b w:val="0"/>
          <w:bCs w:val="0"/>
          <w:color w:val="FF0000"/>
          <w:sz w:val="32"/>
          <w:szCs w:val="32"/>
          <w:lang w:val="en-US"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3398.35</w:t>
      </w:r>
      <w:r>
        <w:rPr>
          <w:rFonts w:hint="eastAsia" w:ascii="Times New Roman" w:hAnsi="Times New Roman" w:eastAsia="仿宋_GB2312"/>
          <w:sz w:val="32"/>
          <w:szCs w:val="32"/>
        </w:rPr>
        <w:t>万元，主要用于以下方面</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一般公共服务</w:t>
      </w:r>
      <w:r>
        <w:rPr>
          <w:rFonts w:hint="eastAsia" w:ascii="Times New Roman" w:hAnsi="Times New Roman" w:eastAsia="仿宋_GB2312"/>
          <w:sz w:val="32"/>
          <w:szCs w:val="32"/>
          <w:lang w:eastAsia="zh-CN"/>
        </w:rPr>
        <w:t>（类）</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3167.43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93.21</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社会保障和就业（类）支出100.01万元，占2.94%；卫生健康（类）支出44.55万元，</w:t>
      </w:r>
      <w:bookmarkStart w:id="5" w:name="OLE_LINK1"/>
      <w:r>
        <w:rPr>
          <w:rFonts w:hint="eastAsia" w:ascii="Times New Roman" w:hAnsi="Times New Roman" w:eastAsia="仿宋_GB2312"/>
          <w:sz w:val="32"/>
          <w:szCs w:val="32"/>
          <w:lang w:val="en-US" w:eastAsia="zh-CN"/>
        </w:rPr>
        <w:t>占1.31%</w:t>
      </w:r>
      <w:bookmarkEnd w:id="5"/>
      <w:r>
        <w:rPr>
          <w:rFonts w:hint="eastAsia" w:ascii="Times New Roman" w:hAnsi="Times New Roman" w:eastAsia="仿宋_GB2312"/>
          <w:sz w:val="32"/>
          <w:szCs w:val="32"/>
          <w:lang w:val="en-US" w:eastAsia="zh-CN"/>
        </w:rPr>
        <w:t>；住房保障（类）支出86.36万元，占2.54%。</w:t>
      </w:r>
    </w:p>
    <w:p w14:paraId="320F9D47">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（三）</w:t>
      </w:r>
      <w:r>
        <w:rPr>
          <w:rFonts w:hint="eastAsia" w:ascii="楷体_GB2312" w:hAnsi="楷体_GB2312" w:eastAsia="楷体_GB2312" w:cs="楷体_GB2312"/>
          <w:b/>
          <w:bCs w:val="0"/>
          <w:sz w:val="32"/>
          <w:szCs w:val="32"/>
          <w:lang w:eastAsia="zh-CN"/>
        </w:rPr>
        <w:t>一般公共预算</w:t>
      </w:r>
      <w:r>
        <w:rPr>
          <w:rFonts w:hint="eastAsia" w:ascii="楷体_GB2312" w:hAnsi="楷体_GB2312" w:eastAsia="楷体_GB2312" w:cs="楷体_GB2312"/>
          <w:b/>
          <w:bCs w:val="0"/>
          <w:sz w:val="32"/>
          <w:szCs w:val="32"/>
        </w:rPr>
        <w:t>财政拨款支出决算具体情况</w:t>
      </w:r>
    </w:p>
    <w:p w14:paraId="0CA3F686">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1976.38</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3398.35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171.95</w:t>
      </w:r>
      <w:r>
        <w:rPr>
          <w:rFonts w:hint="eastAsia" w:ascii="Times New Roman" w:hAnsi="Times New Roman" w:eastAsia="仿宋_GB2312"/>
          <w:sz w:val="32"/>
          <w:szCs w:val="32"/>
        </w:rPr>
        <w:t>%，其中：</w:t>
      </w:r>
    </w:p>
    <w:p w14:paraId="35613005">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w:t>
      </w:r>
      <w:bookmarkStart w:id="6" w:name="OLE_LINK2"/>
      <w:r>
        <w:rPr>
          <w:rFonts w:hint="eastAsia" w:ascii="仿宋_GB2312" w:hAnsi="仿宋_GB2312" w:eastAsia="仿宋_GB2312" w:cs="仿宋_GB2312"/>
          <w:b w:val="0"/>
          <w:bCs w:val="0"/>
          <w:sz w:val="32"/>
          <w:szCs w:val="32"/>
        </w:rPr>
        <w:t>政府办公厅（室）及相关机构事务</w:t>
      </w:r>
      <w:bookmarkEnd w:id="6"/>
      <w:r>
        <w:rPr>
          <w:rFonts w:hint="eastAsia" w:ascii="Times New Roman" w:hAnsi="Times New Roman" w:eastAsia="仿宋_GB2312"/>
          <w:sz w:val="32"/>
          <w:szCs w:val="32"/>
        </w:rPr>
        <w:t>（款）</w:t>
      </w:r>
      <w:r>
        <w:rPr>
          <w:rFonts w:hint="eastAsia" w:ascii="宋体" w:hAnsi="宋体" w:eastAsia="宋体"/>
          <w:sz w:val="32"/>
          <w:szCs w:val="32"/>
        </w:rPr>
        <w:t>行</w:t>
      </w:r>
      <w:r>
        <w:rPr>
          <w:rFonts w:hint="eastAsia" w:ascii="仿宋_GB2312" w:hAnsi="仿宋_GB2312" w:eastAsia="仿宋_GB2312" w:cs="仿宋_GB2312"/>
          <w:b w:val="0"/>
          <w:bCs w:val="0"/>
          <w:sz w:val="32"/>
          <w:szCs w:val="32"/>
        </w:rPr>
        <w:t>政运行</w:t>
      </w:r>
      <w:r>
        <w:rPr>
          <w:rFonts w:hint="eastAsia" w:ascii="Times New Roman" w:hAnsi="Times New Roman" w:eastAsia="仿宋_GB2312"/>
          <w:sz w:val="32"/>
          <w:szCs w:val="32"/>
        </w:rPr>
        <w:t>（项）。</w:t>
      </w:r>
    </w:p>
    <w:p w14:paraId="12D2C54C">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1752.26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1355.82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77.38</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eastAsia="zh-CN"/>
        </w:rPr>
        <w:t>年初政务服务专项经费</w:t>
      </w:r>
      <w:r>
        <w:rPr>
          <w:rFonts w:hint="eastAsia" w:ascii="Times New Roman" w:hAnsi="Times New Roman" w:eastAsia="仿宋_GB2312"/>
          <w:sz w:val="32"/>
          <w:szCs w:val="32"/>
          <w:lang w:val="en-US" w:eastAsia="zh-CN"/>
        </w:rPr>
        <w:t>392万元</w:t>
      </w:r>
      <w:r>
        <w:rPr>
          <w:rFonts w:hint="eastAsia" w:ascii="Times New Roman" w:hAnsi="Times New Roman" w:eastAsia="仿宋_GB2312"/>
          <w:sz w:val="32"/>
          <w:szCs w:val="32"/>
          <w:lang w:eastAsia="zh-CN"/>
        </w:rPr>
        <w:t>列入此项，年末决算实际未列入此项。</w:t>
      </w:r>
    </w:p>
    <w:p w14:paraId="6EE057FE">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2、一般公共服务（类）</w:t>
      </w:r>
      <w:r>
        <w:rPr>
          <w:rFonts w:hint="eastAsia" w:ascii="仿宋_GB2312" w:hAnsi="仿宋_GB2312" w:eastAsia="仿宋_GB2312" w:cs="仿宋_GB2312"/>
          <w:b w:val="0"/>
          <w:bCs w:val="0"/>
          <w:sz w:val="32"/>
          <w:szCs w:val="32"/>
        </w:rPr>
        <w:t>政府办公厅（室）及相关机构事务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其他政府办公厅（室）及相关机构事务</w:t>
      </w:r>
      <w:r>
        <w:rPr>
          <w:rFonts w:hint="eastAsia" w:ascii="Times New Roman" w:hAnsi="Times New Roman" w:eastAsia="仿宋_GB2312"/>
          <w:sz w:val="32"/>
          <w:szCs w:val="32"/>
        </w:rPr>
        <w:t>（项）。</w:t>
      </w:r>
    </w:p>
    <w:p w14:paraId="6342F418">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421.99</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年初预算安排的</w:t>
      </w:r>
      <w:r>
        <w:rPr>
          <w:rFonts w:hint="eastAsia" w:ascii="Times New Roman" w:hAnsi="Times New Roman" w:eastAsia="仿宋_GB2312"/>
          <w:sz w:val="32"/>
          <w:szCs w:val="32"/>
          <w:lang w:eastAsia="zh-CN"/>
        </w:rPr>
        <w:t>政务服务专项经费</w:t>
      </w:r>
      <w:r>
        <w:rPr>
          <w:rFonts w:hint="eastAsia" w:ascii="Times New Roman" w:hAnsi="Times New Roman" w:eastAsia="仿宋_GB2312"/>
          <w:sz w:val="32"/>
          <w:szCs w:val="32"/>
          <w:lang w:val="en-US" w:eastAsia="zh-CN"/>
        </w:rPr>
        <w:t>392万元列入了此项，以及代管户市民中心家具质保金支出29.99万元。</w:t>
      </w:r>
    </w:p>
    <w:p w14:paraId="4FBE29F7">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w:t>
      </w:r>
      <w:bookmarkStart w:id="7" w:name="OLE_LINK13"/>
      <w:r>
        <w:rPr>
          <w:rFonts w:hint="eastAsia" w:ascii="Times New Roman" w:hAnsi="Times New Roman" w:eastAsia="仿宋_GB2312"/>
          <w:sz w:val="32"/>
          <w:szCs w:val="32"/>
        </w:rPr>
        <w:t>一般公共服务（类）</w:t>
      </w:r>
      <w:bookmarkEnd w:id="7"/>
      <w:r>
        <w:rPr>
          <w:rFonts w:hint="eastAsia" w:ascii="Times New Roman" w:hAnsi="Times New Roman" w:eastAsia="仿宋_GB2312"/>
          <w:sz w:val="32"/>
          <w:szCs w:val="32"/>
          <w:lang w:eastAsia="zh-CN"/>
        </w:rPr>
        <w:t>其他一般公共服务支出</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其他一般公共服务支出</w:t>
      </w:r>
      <w:r>
        <w:rPr>
          <w:rFonts w:hint="eastAsia" w:ascii="Times New Roman" w:hAnsi="Times New Roman" w:eastAsia="仿宋_GB2312"/>
          <w:sz w:val="32"/>
          <w:szCs w:val="32"/>
        </w:rPr>
        <w:t>（项）。</w:t>
      </w:r>
    </w:p>
    <w:p w14:paraId="063F30DF">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1334.62</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年初预算未安排，为年中追加安排的市本级公共服务运维信息化项目款。</w:t>
      </w:r>
    </w:p>
    <w:p w14:paraId="59001DE2">
      <w:pPr>
        <w:pStyle w:val="16"/>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bookmarkStart w:id="8" w:name="OLE_LINK12"/>
      <w:r>
        <w:rPr>
          <w:rFonts w:hint="eastAsia" w:ascii="仿宋_GB2312" w:hAnsi="仿宋_GB2312" w:eastAsia="仿宋_GB2312" w:cs="仿宋_GB2312"/>
          <w:b w:val="0"/>
          <w:bCs w:val="0"/>
          <w:sz w:val="32"/>
          <w:szCs w:val="32"/>
        </w:rPr>
        <w:t>社会保障和就业支出（类）行政事业单位养老支出（款） 机关事业单位基本养老保险缴费支出（项）</w:t>
      </w:r>
      <w:r>
        <w:rPr>
          <w:rFonts w:hint="eastAsia" w:ascii="Times New Roman" w:hAnsi="Times New Roman" w:eastAsia="仿宋_GB2312"/>
          <w:sz w:val="32"/>
          <w:szCs w:val="32"/>
        </w:rPr>
        <w:t>。</w:t>
      </w:r>
    </w:p>
    <w:bookmarkEnd w:id="8"/>
    <w:p w14:paraId="0F6C194E">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99.17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100.01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100.85</w:t>
      </w:r>
      <w:r>
        <w:rPr>
          <w:rFonts w:hint="eastAsia" w:ascii="Times New Roman" w:hAnsi="Times New Roman" w:eastAsia="仿宋_GB2312"/>
          <w:sz w:val="32"/>
          <w:szCs w:val="32"/>
        </w:rPr>
        <w:t>%，决算数大于年初预算数的主要原因是：</w:t>
      </w:r>
      <w:r>
        <w:rPr>
          <w:rFonts w:hint="eastAsia" w:ascii="仿宋_GB2312" w:hAnsi="仿宋_GB2312" w:eastAsia="仿宋_GB2312" w:cs="仿宋_GB2312"/>
          <w:color w:val="000000"/>
          <w:sz w:val="32"/>
          <w:szCs w:val="32"/>
        </w:rPr>
        <w:t>通过</w:t>
      </w:r>
      <w:r>
        <w:rPr>
          <w:rFonts w:hint="eastAsia" w:ascii="仿宋_GB2312" w:hAnsi="仿宋_GB2312" w:eastAsia="仿宋_GB2312" w:cs="仿宋_GB2312"/>
          <w:color w:val="000000"/>
          <w:sz w:val="32"/>
          <w:szCs w:val="32"/>
          <w:lang w:val="en-US" w:eastAsia="zh-CN"/>
        </w:rPr>
        <w:t>省考、</w:t>
      </w:r>
      <w:r>
        <w:rPr>
          <w:rFonts w:hint="eastAsia" w:ascii="仿宋_GB2312" w:hAnsi="仿宋_GB2312" w:eastAsia="仿宋_GB2312" w:cs="仿宋_GB2312"/>
          <w:color w:val="000000"/>
          <w:sz w:val="32"/>
          <w:szCs w:val="32"/>
        </w:rPr>
        <w:t>人才引进、遴选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调入等方式综合增加4人</w:t>
      </w:r>
      <w:r>
        <w:rPr>
          <w:rFonts w:hint="eastAsia" w:ascii="Times New Roman" w:hAnsi="Times New Roman" w:eastAsia="仿宋_GB2312"/>
          <w:sz w:val="32"/>
          <w:szCs w:val="32"/>
          <w:lang w:eastAsia="zh-CN"/>
        </w:rPr>
        <w:t>。</w:t>
      </w:r>
    </w:p>
    <w:p w14:paraId="520151A9">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、卫生健康支出（类）</w:t>
      </w:r>
      <w:bookmarkStart w:id="9" w:name="OLE_LINK15"/>
      <w:r>
        <w:rPr>
          <w:rFonts w:hint="eastAsia" w:ascii="Times New Roman" w:hAnsi="Times New Roman" w:eastAsia="仿宋_GB2312"/>
          <w:sz w:val="32"/>
          <w:szCs w:val="32"/>
        </w:rPr>
        <w:t>行政事业单位医疗（款</w:t>
      </w:r>
      <w:bookmarkEnd w:id="9"/>
      <w:r>
        <w:rPr>
          <w:rFonts w:hint="eastAsia" w:ascii="Times New Roman" w:hAnsi="Times New Roman" w:eastAsia="仿宋_GB2312"/>
          <w:sz w:val="32"/>
          <w:szCs w:val="32"/>
        </w:rPr>
        <w:t>） 行政单位医疗（项）。</w:t>
      </w:r>
    </w:p>
    <w:p w14:paraId="48AD447A">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40.92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41.28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100.88</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大</w:t>
      </w:r>
      <w:r>
        <w:rPr>
          <w:rFonts w:hint="eastAsia" w:ascii="Times New Roman" w:hAnsi="Times New Roman" w:eastAsia="仿宋_GB2312"/>
          <w:sz w:val="32"/>
          <w:szCs w:val="32"/>
        </w:rPr>
        <w:t>于年初预算数的主要原因是：</w:t>
      </w:r>
      <w:bookmarkStart w:id="10" w:name="OLE_LINK18"/>
      <w:r>
        <w:rPr>
          <w:rFonts w:hint="eastAsia" w:ascii="仿宋_GB2312" w:hAnsi="仿宋_GB2312" w:eastAsia="仿宋_GB2312" w:cs="仿宋_GB2312"/>
          <w:color w:val="000000"/>
          <w:sz w:val="32"/>
          <w:szCs w:val="32"/>
        </w:rPr>
        <w:t>通过</w:t>
      </w:r>
      <w:r>
        <w:rPr>
          <w:rFonts w:hint="eastAsia" w:ascii="仿宋_GB2312" w:hAnsi="仿宋_GB2312" w:eastAsia="仿宋_GB2312" w:cs="仿宋_GB2312"/>
          <w:color w:val="000000"/>
          <w:sz w:val="32"/>
          <w:szCs w:val="32"/>
          <w:lang w:val="en-US" w:eastAsia="zh-CN"/>
        </w:rPr>
        <w:t>省考、</w:t>
      </w:r>
      <w:r>
        <w:rPr>
          <w:rFonts w:hint="eastAsia" w:ascii="仿宋_GB2312" w:hAnsi="仿宋_GB2312" w:eastAsia="仿宋_GB2312" w:cs="仿宋_GB2312"/>
          <w:color w:val="000000"/>
          <w:sz w:val="32"/>
          <w:szCs w:val="32"/>
        </w:rPr>
        <w:t>人才引进、遴选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调入等方式综合增加4人</w:t>
      </w:r>
      <w:r>
        <w:rPr>
          <w:rFonts w:hint="eastAsia" w:ascii="Times New Roman" w:hAnsi="Times New Roman" w:eastAsia="仿宋_GB2312"/>
          <w:sz w:val="32"/>
          <w:szCs w:val="32"/>
          <w:lang w:eastAsia="zh-CN"/>
        </w:rPr>
        <w:t>。</w:t>
      </w:r>
    </w:p>
    <w:p w14:paraId="078B79F4">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 xml:space="preserve">、卫生健康支出（类）行政事业单位医疗（款） </w:t>
      </w:r>
      <w:r>
        <w:rPr>
          <w:rFonts w:hint="eastAsia" w:ascii="Times New Roman" w:hAnsi="Times New Roman" w:eastAsia="仿宋_GB2312"/>
          <w:sz w:val="32"/>
          <w:szCs w:val="32"/>
          <w:lang w:eastAsia="zh-CN"/>
        </w:rPr>
        <w:t>公务员医疗补助</w:t>
      </w:r>
      <w:r>
        <w:rPr>
          <w:rFonts w:hint="eastAsia" w:ascii="Times New Roman" w:hAnsi="Times New Roman" w:eastAsia="仿宋_GB2312"/>
          <w:sz w:val="32"/>
          <w:szCs w:val="32"/>
        </w:rPr>
        <w:t>（项）。</w:t>
      </w:r>
    </w:p>
    <w:p w14:paraId="5B665E10">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3.27</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年初预算未安排，为年中追加安排的</w:t>
      </w:r>
      <w:r>
        <w:rPr>
          <w:rFonts w:hint="eastAsia" w:ascii="Times New Roman" w:hAnsi="Times New Roman" w:eastAsia="仿宋_GB2312"/>
          <w:sz w:val="32"/>
          <w:szCs w:val="32"/>
          <w:lang w:eastAsia="zh-CN"/>
        </w:rPr>
        <w:t>公务员医疗补助</w:t>
      </w:r>
      <w:r>
        <w:rPr>
          <w:rFonts w:hint="eastAsia" w:ascii="Times New Roman" w:hAnsi="Times New Roman" w:eastAsia="仿宋_GB2312"/>
          <w:sz w:val="32"/>
          <w:szCs w:val="32"/>
          <w:lang w:val="en-US" w:eastAsia="zh-CN"/>
        </w:rPr>
        <w:t>。</w:t>
      </w:r>
    </w:p>
    <w:bookmarkEnd w:id="10"/>
    <w:p w14:paraId="6783EF96">
      <w:pPr>
        <w:pStyle w:val="16"/>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val="0"/>
          <w:bCs w:val="0"/>
          <w:sz w:val="32"/>
          <w:szCs w:val="32"/>
        </w:rPr>
      </w:pPr>
      <w:bookmarkStart w:id="11" w:name="OLE_LINK11"/>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w:t>
      </w:r>
      <w:r>
        <w:rPr>
          <w:rFonts w:hint="eastAsia" w:ascii="仿宋_GB2312" w:hAnsi="仿宋_GB2312" w:eastAsia="仿宋_GB2312" w:cs="仿宋_GB2312"/>
          <w:b w:val="0"/>
          <w:bCs w:val="0"/>
          <w:sz w:val="32"/>
          <w:szCs w:val="32"/>
          <w:lang w:eastAsia="zh-CN"/>
        </w:rPr>
        <w:t>住房保障支出</w:t>
      </w:r>
      <w:r>
        <w:rPr>
          <w:rFonts w:hint="eastAsia" w:ascii="仿宋_GB2312" w:hAnsi="仿宋_GB2312" w:eastAsia="仿宋_GB2312" w:cs="仿宋_GB2312"/>
          <w:b w:val="0"/>
          <w:bCs w:val="0"/>
          <w:sz w:val="32"/>
          <w:szCs w:val="32"/>
        </w:rPr>
        <w:t>（类）</w:t>
      </w:r>
      <w:r>
        <w:rPr>
          <w:rFonts w:hint="eastAsia" w:ascii="仿宋_GB2312" w:hAnsi="仿宋_GB2312" w:eastAsia="仿宋_GB2312" w:cs="仿宋_GB2312"/>
          <w:b w:val="0"/>
          <w:bCs w:val="0"/>
          <w:sz w:val="32"/>
          <w:szCs w:val="32"/>
          <w:lang w:eastAsia="zh-CN"/>
        </w:rPr>
        <w:t>住房改革支出</w:t>
      </w:r>
      <w:r>
        <w:rPr>
          <w:rFonts w:hint="eastAsia" w:ascii="仿宋_GB2312" w:hAnsi="仿宋_GB2312" w:eastAsia="仿宋_GB2312" w:cs="仿宋_GB2312"/>
          <w:b w:val="0"/>
          <w:bCs w:val="0"/>
          <w:sz w:val="32"/>
          <w:szCs w:val="32"/>
        </w:rPr>
        <w:t>（款）</w:t>
      </w:r>
      <w:r>
        <w:rPr>
          <w:rFonts w:hint="eastAsia" w:ascii="仿宋_GB2312" w:hAnsi="仿宋_GB2312" w:eastAsia="仿宋_GB2312" w:cs="仿宋_GB2312"/>
          <w:b w:val="0"/>
          <w:bCs w:val="0"/>
          <w:sz w:val="32"/>
          <w:szCs w:val="32"/>
          <w:lang w:eastAsia="zh-CN"/>
        </w:rPr>
        <w:t>住房公积金</w:t>
      </w:r>
      <w:r>
        <w:rPr>
          <w:rFonts w:hint="eastAsia" w:ascii="仿宋_GB2312" w:hAnsi="仿宋_GB2312" w:eastAsia="仿宋_GB2312" w:cs="仿宋_GB2312"/>
          <w:b w:val="0"/>
          <w:bCs w:val="0"/>
          <w:sz w:val="32"/>
          <w:szCs w:val="32"/>
        </w:rPr>
        <w:t>（项）。</w:t>
      </w:r>
    </w:p>
    <w:p w14:paraId="171DCB27">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bookmarkStart w:id="12" w:name="OLE_LINK5"/>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84.03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86.36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102.77</w:t>
      </w:r>
      <w:r>
        <w:rPr>
          <w:rFonts w:hint="eastAsia" w:ascii="Times New Roman" w:hAnsi="Times New Roman" w:eastAsia="仿宋_GB2312"/>
          <w:sz w:val="32"/>
          <w:szCs w:val="32"/>
        </w:rPr>
        <w:t>%，决算数大于年初预算数的主要原因是：</w:t>
      </w:r>
      <w:r>
        <w:rPr>
          <w:rFonts w:hint="eastAsia" w:ascii="仿宋_GB2312" w:hAnsi="仿宋_GB2312" w:eastAsia="仿宋_GB2312" w:cs="仿宋_GB2312"/>
          <w:color w:val="000000"/>
          <w:sz w:val="32"/>
          <w:szCs w:val="32"/>
        </w:rPr>
        <w:t>通过</w:t>
      </w:r>
      <w:r>
        <w:rPr>
          <w:rFonts w:hint="eastAsia" w:ascii="仿宋_GB2312" w:hAnsi="仿宋_GB2312" w:eastAsia="仿宋_GB2312" w:cs="仿宋_GB2312"/>
          <w:color w:val="000000"/>
          <w:sz w:val="32"/>
          <w:szCs w:val="32"/>
          <w:lang w:val="en-US" w:eastAsia="zh-CN"/>
        </w:rPr>
        <w:t>省考、</w:t>
      </w:r>
      <w:r>
        <w:rPr>
          <w:rFonts w:hint="eastAsia" w:ascii="仿宋_GB2312" w:hAnsi="仿宋_GB2312" w:eastAsia="仿宋_GB2312" w:cs="仿宋_GB2312"/>
          <w:color w:val="000000"/>
          <w:sz w:val="32"/>
          <w:szCs w:val="32"/>
        </w:rPr>
        <w:t>人才引进、遴选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调入等方式综合增加4人</w:t>
      </w:r>
      <w:r>
        <w:rPr>
          <w:rFonts w:hint="eastAsia" w:ascii="Times New Roman" w:hAnsi="Times New Roman" w:eastAsia="仿宋_GB2312"/>
          <w:sz w:val="32"/>
          <w:szCs w:val="32"/>
          <w:lang w:eastAsia="zh-CN"/>
        </w:rPr>
        <w:t>。</w:t>
      </w:r>
    </w:p>
    <w:bookmarkEnd w:id="11"/>
    <w:bookmarkEnd w:id="12"/>
    <w:p w14:paraId="04C3BE6B">
      <w:pPr>
        <w:pStyle w:val="16"/>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一般公共服务（类）</w:t>
      </w:r>
      <w:r>
        <w:rPr>
          <w:rFonts w:hint="eastAsia" w:ascii="Times New Roman" w:hAnsi="Times New Roman" w:eastAsia="仿宋_GB2312"/>
          <w:sz w:val="32"/>
          <w:szCs w:val="32"/>
          <w:lang w:val="en-US" w:eastAsia="zh-CN"/>
        </w:rPr>
        <w:t>发展与改革事务（款）其他</w:t>
      </w:r>
      <w:bookmarkStart w:id="13" w:name="OLE_LINK16"/>
      <w:r>
        <w:rPr>
          <w:rFonts w:hint="eastAsia" w:ascii="Times New Roman" w:hAnsi="Times New Roman" w:eastAsia="仿宋_GB2312"/>
          <w:sz w:val="32"/>
          <w:szCs w:val="32"/>
          <w:lang w:val="en-US" w:eastAsia="zh-CN"/>
        </w:rPr>
        <w:t>发展与改革事务</w:t>
      </w:r>
      <w:bookmarkEnd w:id="13"/>
      <w:r>
        <w:rPr>
          <w:rFonts w:hint="eastAsia" w:ascii="Times New Roman" w:hAnsi="Times New Roman" w:eastAsia="仿宋_GB2312"/>
          <w:sz w:val="32"/>
          <w:szCs w:val="32"/>
          <w:lang w:val="en-US" w:eastAsia="zh-CN"/>
        </w:rPr>
        <w:t>支出（项）</w:t>
      </w:r>
    </w:p>
    <w:p w14:paraId="69A6C85A">
      <w:pPr>
        <w:pStyle w:val="16"/>
        <w:keepNext w:val="0"/>
        <w:keepLines w:val="0"/>
        <w:pageBreakBefore w:val="0"/>
        <w:widowControl w:val="0"/>
        <w:numPr>
          <w:ilvl w:val="0"/>
          <w:numId w:val="0"/>
        </w:numPr>
        <w:kinsoku/>
        <w:wordWrap/>
        <w:overflowPunct/>
        <w:topLinePunct w:val="0"/>
        <w:bidi w:val="0"/>
        <w:snapToGrid/>
        <w:spacing w:line="600" w:lineRule="exact"/>
        <w:ind w:leftChars="250" w:firstLine="320" w:firstLineChars="1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55</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年初预算未安排，为年中追加安排的2023年社会信用体系建设真抓实干督查激励资金</w:t>
      </w:r>
      <w:r>
        <w:rPr>
          <w:rFonts w:hint="eastAsia" w:ascii="Times New Roman" w:hAnsi="Times New Roman" w:eastAsia="仿宋_GB2312"/>
          <w:sz w:val="32"/>
          <w:szCs w:val="32"/>
          <w:lang w:eastAsia="zh-CN"/>
        </w:rPr>
        <w:t>。</w:t>
      </w:r>
    </w:p>
    <w:p w14:paraId="71F1046B">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1552C5B">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1586.75</w:t>
      </w:r>
      <w:r>
        <w:rPr>
          <w:rFonts w:hint="eastAsia" w:ascii="Times New Roman" w:hAnsi="Times New Roman" w:eastAsia="仿宋_GB2312"/>
          <w:sz w:val="32"/>
          <w:szCs w:val="32"/>
        </w:rPr>
        <w:t>万元，其中：</w:t>
      </w:r>
    </w:p>
    <w:p w14:paraId="22CAC719">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952.85</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60.05</w:t>
      </w:r>
      <w:r>
        <w:rPr>
          <w:rFonts w:hint="eastAsia" w:ascii="Times New Roman" w:hAnsi="Times New Roman" w:eastAsia="仿宋_GB2312"/>
          <w:sz w:val="32"/>
          <w:szCs w:val="32"/>
        </w:rPr>
        <w:t>%,主要包括</w:t>
      </w:r>
      <w:r>
        <w:rPr>
          <w:rFonts w:hint="eastAsia" w:ascii="仿宋_GB2312" w:hAnsi="仿宋_GB2312" w:eastAsia="仿宋_GB2312" w:cs="仿宋_GB2312"/>
          <w:b w:val="0"/>
          <w:bCs w:val="0"/>
          <w:sz w:val="32"/>
          <w:szCs w:val="32"/>
        </w:rPr>
        <w:t>基本工资、津贴补贴、奖金</w:t>
      </w:r>
      <w:r>
        <w:rPr>
          <w:rFonts w:hint="eastAsia" w:ascii="仿宋_GB2312" w:hAnsi="仿宋_GB2312" w:eastAsia="仿宋_GB2312" w:cs="仿宋_GB2312"/>
          <w:b w:val="0"/>
          <w:bCs w:val="0"/>
          <w:sz w:val="32"/>
          <w:szCs w:val="32"/>
          <w:lang w:eastAsia="zh-CN"/>
        </w:rPr>
        <w:t>、绩效工资、机关事业单位基本养老保险缴费、职工基本医疗保险缴费、公务员医疗补助缴费、其他社会保障缴费、住房公积金</w:t>
      </w:r>
      <w:r>
        <w:rPr>
          <w:rFonts w:hint="eastAsia" w:ascii="Times New Roman" w:hAnsi="Times New Roman" w:eastAsia="仿宋_GB2312"/>
          <w:sz w:val="32"/>
          <w:szCs w:val="32"/>
          <w:lang w:eastAsia="zh-CN"/>
        </w:rPr>
        <w:t>。</w:t>
      </w:r>
    </w:p>
    <w:p w14:paraId="5188A097">
      <w:pPr>
        <w:pStyle w:val="16"/>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633.90</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39.95</w:t>
      </w:r>
      <w:r>
        <w:rPr>
          <w:rFonts w:hint="eastAsia" w:ascii="Times New Roman" w:hAnsi="Times New Roman" w:eastAsia="仿宋_GB2312"/>
          <w:sz w:val="32"/>
          <w:szCs w:val="32"/>
        </w:rPr>
        <w:t>%，主要包括</w:t>
      </w:r>
      <w:r>
        <w:rPr>
          <w:rFonts w:hint="eastAsia" w:ascii="仿宋_GB2312" w:hAnsi="仿宋_GB2312" w:eastAsia="仿宋_GB2312" w:cs="仿宋_GB2312"/>
          <w:b w:val="0"/>
          <w:bCs w:val="0"/>
          <w:sz w:val="32"/>
          <w:szCs w:val="32"/>
        </w:rPr>
        <w:t>办公费、印刷费、</w:t>
      </w:r>
      <w:r>
        <w:rPr>
          <w:rFonts w:hint="eastAsia" w:ascii="仿宋_GB2312" w:hAnsi="仿宋_GB2312" w:eastAsia="仿宋_GB2312" w:cs="仿宋_GB2312"/>
          <w:b w:val="0"/>
          <w:bCs w:val="0"/>
          <w:sz w:val="32"/>
          <w:szCs w:val="32"/>
          <w:lang w:eastAsia="zh-CN"/>
        </w:rPr>
        <w:t>邮电</w:t>
      </w:r>
      <w:r>
        <w:rPr>
          <w:rFonts w:hint="eastAsia" w:ascii="仿宋_GB2312" w:hAnsi="仿宋_GB2312" w:eastAsia="仿宋_GB2312" w:cs="仿宋_GB2312"/>
          <w:b w:val="0"/>
          <w:bCs w:val="0"/>
          <w:sz w:val="32"/>
          <w:szCs w:val="32"/>
        </w:rPr>
        <w:t>费</w:t>
      </w:r>
      <w:r>
        <w:rPr>
          <w:rFonts w:hint="eastAsia" w:ascii="仿宋_GB2312" w:hAnsi="仿宋_GB2312" w:eastAsia="仿宋_GB2312" w:cs="仿宋_GB2312"/>
          <w:b w:val="0"/>
          <w:bCs w:val="0"/>
          <w:sz w:val="32"/>
          <w:szCs w:val="32"/>
          <w:lang w:eastAsia="zh-CN"/>
        </w:rPr>
        <w:t>、差旅费、维修（护）费、租赁费、培训费、公务接待费、劳务费、工会经费、福利费、其他交通费用、其他商品服务支出。</w:t>
      </w:r>
    </w:p>
    <w:p w14:paraId="78E7FB95">
      <w:pPr>
        <w:pStyle w:val="16"/>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Theme="minorEastAsia" w:hAnsiTheme="minorEastAsia" w:eastAsiaTheme="minorEastAsia"/>
          <w:b w:val="0"/>
          <w:bCs w:val="0"/>
          <w:sz w:val="32"/>
          <w:szCs w:val="32"/>
        </w:rPr>
      </w:pPr>
      <w:r>
        <w:rPr>
          <w:rFonts w:hint="eastAsia" w:ascii="黑体" w:hAnsi="黑体" w:eastAsia="黑体" w:cs="黑体"/>
          <w:b w:val="0"/>
          <w:bCs/>
          <w:sz w:val="32"/>
          <w:szCs w:val="32"/>
        </w:rPr>
        <w:t>财政拨款三公经费支出决算情况说明</w:t>
      </w:r>
    </w:p>
    <w:p w14:paraId="2F3CF70B">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2281667B">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2.84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71</w:t>
      </w:r>
      <w:r>
        <w:rPr>
          <w:rFonts w:hint="eastAsia" w:ascii="Times New Roman" w:hAnsi="Times New Roman" w:eastAsia="仿宋_GB2312"/>
          <w:sz w:val="32"/>
          <w:szCs w:val="32"/>
        </w:rPr>
        <w:t>%，决算数小于预算数的主要原因是单位严格执行中央八项规定，厉行节约，严控接待标准与接待费用，与上年相比</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0.4</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16.39</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rPr>
        <w:t>的主要原因是</w:t>
      </w:r>
      <w:r>
        <w:rPr>
          <w:rFonts w:hint="eastAsia" w:ascii="仿宋_GB2312" w:hAnsi="仿宋_GB2312" w:eastAsia="仿宋_GB2312" w:cs="仿宋_GB2312"/>
          <w:b w:val="0"/>
          <w:bCs w:val="0"/>
          <w:sz w:val="32"/>
          <w:szCs w:val="32"/>
          <w:lang w:eastAsia="zh-CN"/>
        </w:rPr>
        <w:t>2024年市委市政府首次将数据资源作为八大重要资源之一进行了招商引资推介。因此，今年我局增加了较多商务接待，导致2024年“三公经费”较上年增加</w:t>
      </w:r>
      <w:r>
        <w:rPr>
          <w:rFonts w:hint="eastAsia" w:ascii="仿宋_GB2312" w:hAnsi="仿宋_GB2312" w:eastAsia="仿宋_GB2312" w:cs="仿宋_GB2312"/>
          <w:b w:val="0"/>
          <w:bCs w:val="0"/>
          <w:sz w:val="32"/>
          <w:szCs w:val="32"/>
          <w:lang w:val="en-US" w:eastAsia="zh-CN"/>
        </w:rPr>
        <w:t>0.4万</w:t>
      </w:r>
      <w:r>
        <w:rPr>
          <w:rFonts w:hint="eastAsia" w:ascii="仿宋_GB2312" w:hAnsi="仿宋_GB2312" w:eastAsia="仿宋_GB2312" w:cs="仿宋_GB2312"/>
          <w:b w:val="0"/>
          <w:bCs w:val="0"/>
          <w:sz w:val="32"/>
          <w:szCs w:val="32"/>
          <w:lang w:eastAsia="zh-CN"/>
        </w:rPr>
        <w:t>元。</w:t>
      </w:r>
      <w:r>
        <w:rPr>
          <w:rFonts w:hint="eastAsia" w:ascii="Times New Roman" w:hAnsi="Times New Roman" w:eastAsia="仿宋_GB2312"/>
          <w:sz w:val="32"/>
          <w:szCs w:val="32"/>
        </w:rPr>
        <w:t>其中：</w:t>
      </w:r>
    </w:p>
    <w:p w14:paraId="685497BD">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bookmarkStart w:id="14" w:name="OLE_LINK21"/>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一致</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w:t>
      </w:r>
    </w:p>
    <w:bookmarkEnd w:id="14"/>
    <w:p w14:paraId="236EB8D4">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hAnsi="仿宋_GB2312" w:eastAsia="仿宋_GB2312" w:cs="仿宋_GB2312"/>
          <w:b w:val="0"/>
          <w:bCs w:val="0"/>
          <w:sz w:val="32"/>
          <w:szCs w:val="32"/>
          <w:lang w:eastAsia="zh-CN"/>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2.84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71</w:t>
      </w:r>
      <w:r>
        <w:rPr>
          <w:rFonts w:hint="eastAsia" w:ascii="Times New Roman" w:hAnsi="Times New Roman" w:eastAsia="仿宋_GB2312"/>
          <w:sz w:val="32"/>
          <w:szCs w:val="32"/>
        </w:rPr>
        <w:t>%，决算数小于预算数的主要原因是</w:t>
      </w:r>
      <w:bookmarkStart w:id="15" w:name="OLE_LINK19"/>
      <w:r>
        <w:rPr>
          <w:rFonts w:hint="eastAsia" w:ascii="Times New Roman" w:hAnsi="Times New Roman" w:eastAsia="仿宋_GB2312"/>
          <w:sz w:val="32"/>
          <w:szCs w:val="32"/>
        </w:rPr>
        <w:t>单位严格执行中央八项规定，厉行节约，严控接待标准与接待费用</w:t>
      </w:r>
      <w:bookmarkEnd w:id="15"/>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0.4</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16.39</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rPr>
        <w:t>的主要原因是</w:t>
      </w:r>
      <w:r>
        <w:rPr>
          <w:rFonts w:hint="eastAsia" w:ascii="仿宋_GB2312" w:hAnsi="仿宋_GB2312" w:eastAsia="仿宋_GB2312" w:cs="仿宋_GB2312"/>
          <w:b w:val="0"/>
          <w:bCs w:val="0"/>
          <w:sz w:val="32"/>
          <w:szCs w:val="32"/>
          <w:lang w:eastAsia="zh-CN"/>
        </w:rPr>
        <w:t>2024年市委市政府首次将数据资源作为八大重要资源之一进行了招商引资推介。因此，今年我局增加了较多商务接待，导致2024年“三公经费”较上年增加</w:t>
      </w:r>
      <w:r>
        <w:rPr>
          <w:rFonts w:hint="eastAsia" w:ascii="仿宋_GB2312" w:hAnsi="仿宋_GB2312" w:eastAsia="仿宋_GB2312" w:cs="仿宋_GB2312"/>
          <w:b w:val="0"/>
          <w:bCs w:val="0"/>
          <w:sz w:val="32"/>
          <w:szCs w:val="32"/>
          <w:lang w:val="en-US" w:eastAsia="zh-CN"/>
        </w:rPr>
        <w:t>0.4万</w:t>
      </w:r>
      <w:r>
        <w:rPr>
          <w:rFonts w:hint="eastAsia" w:ascii="仿宋_GB2312" w:hAnsi="仿宋_GB2312" w:eastAsia="仿宋_GB2312" w:cs="仿宋_GB2312"/>
          <w:b w:val="0"/>
          <w:bCs w:val="0"/>
          <w:sz w:val="32"/>
          <w:szCs w:val="32"/>
          <w:lang w:eastAsia="zh-CN"/>
        </w:rPr>
        <w:t>元。</w:t>
      </w:r>
    </w:p>
    <w:p w14:paraId="68C04271">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一致</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w:t>
      </w:r>
    </w:p>
    <w:p w14:paraId="17BA29BF">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eastAsia="zh-CN"/>
        </w:rPr>
        <w:t>一致</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w:t>
      </w:r>
    </w:p>
    <w:p w14:paraId="4C03F175">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5AD07155">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2.84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3B99B0F4">
      <w:pPr>
        <w:pStyle w:val="16"/>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b/>
          <w:bCs/>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b/>
          <w:bCs/>
          <w:color w:val="auto"/>
          <w:sz w:val="32"/>
          <w:szCs w:val="32"/>
          <w:lang w:val="en-US" w:eastAsia="zh-CN"/>
        </w:rPr>
        <w:t>，</w:t>
      </w:r>
      <w:r>
        <w:rPr>
          <w:rFonts w:hint="eastAsia" w:ascii="Times New Roman" w:hAnsi="Times New Roman" w:eastAsia="仿宋_GB2312" w:cstheme="minorBidi"/>
          <w:color w:val="auto"/>
          <w:kern w:val="2"/>
          <w:sz w:val="32"/>
          <w:szCs w:val="32"/>
          <w:lang w:val="en-US" w:eastAsia="zh-CN" w:bidi="ar-SA"/>
        </w:rPr>
        <w:t>2024年度我单位未开展因公出国（境）活动</w:t>
      </w:r>
      <w:r>
        <w:rPr>
          <w:rFonts w:hint="eastAsia" w:ascii="仿宋_GB2312" w:hAnsi="仿宋_GB2312" w:eastAsia="仿宋_GB2312" w:cs="仿宋_GB2312"/>
          <w:b w:val="0"/>
          <w:bCs w:val="0"/>
          <w:color w:val="auto"/>
          <w:sz w:val="32"/>
          <w:szCs w:val="32"/>
          <w:lang w:val="en-US" w:eastAsia="zh-CN"/>
        </w:rPr>
        <w:t>。</w:t>
      </w:r>
    </w:p>
    <w:p w14:paraId="28082D6D">
      <w:pPr>
        <w:pStyle w:val="16"/>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2.84</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29</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298</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eastAsia="zh-CN"/>
        </w:rPr>
        <w:t>县区来访、省局调研、其他市州来访、项目公司对接等</w:t>
      </w:r>
      <w:r>
        <w:rPr>
          <w:rFonts w:hint="eastAsia" w:ascii="Times New Roman" w:hAnsi="Times New Roman" w:eastAsia="仿宋_GB2312"/>
          <w:sz w:val="32"/>
          <w:szCs w:val="32"/>
        </w:rPr>
        <w:t>发生的接待支出。</w:t>
      </w:r>
    </w:p>
    <w:p w14:paraId="11C4E659">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永州市行政审批服务局</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w:t>
      </w: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w:t>
      </w:r>
      <w:r>
        <w:rPr>
          <w:rFonts w:hint="eastAsia" w:ascii="Times New Roman" w:hAnsi="Times New Roman" w:eastAsia="仿宋_GB2312"/>
          <w:sz w:val="32"/>
          <w:szCs w:val="32"/>
          <w:lang w:eastAsia="zh-CN"/>
        </w:rPr>
        <w:t>，属无产权代管车</w:t>
      </w:r>
      <w:r>
        <w:rPr>
          <w:rFonts w:hint="eastAsia" w:ascii="Times New Roman" w:hAnsi="Times New Roman" w:eastAsia="仿宋_GB2312"/>
          <w:sz w:val="32"/>
          <w:szCs w:val="32"/>
        </w:rPr>
        <w:t>。</w:t>
      </w:r>
    </w:p>
    <w:p w14:paraId="5C3F64A4">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29A8ADD4">
      <w:pPr>
        <w:pStyle w:val="16"/>
        <w:overflowPunct w:val="0"/>
        <w:autoSpaceDE/>
        <w:autoSpaceDN/>
        <w:spacing w:line="600" w:lineRule="exact"/>
        <w:ind w:firstLine="640" w:firstLineChars="200"/>
        <w:jc w:val="both"/>
        <w:rPr>
          <w:rFonts w:ascii="Times New Roman" w:hAnsi="Times New Roman" w:eastAsia="楷体" w:cs="Times New Roman"/>
          <w:b/>
          <w:bCs/>
          <w:i/>
          <w:color w:val="auto"/>
          <w:sz w:val="32"/>
          <w:szCs w:val="32"/>
        </w:rPr>
      </w:pPr>
      <w:r>
        <w:rPr>
          <w:rFonts w:ascii="Times New Roman" w:hAnsi="Times New Roman" w:eastAsia="仿宋_GB2312" w:cs="Times New Roman"/>
          <w:sz w:val="32"/>
          <w:szCs w:val="32"/>
        </w:rPr>
        <w:t>2024年度政府性基金预算财政拨款收入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万元；年初结转和结余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万元，项目支出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万元；年末结转和结余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sz w:val="32"/>
          <w:szCs w:val="32"/>
          <w:lang w:val="en-US" w:eastAsia="zh-CN"/>
        </w:rPr>
        <w:t>2024年本单位无政府性基金收支。</w:t>
      </w:r>
    </w:p>
    <w:p w14:paraId="0E0ADA21">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14:paraId="43844719">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本部门</w:t>
      </w: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142.61</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比年初预算数</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0.51</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0.36</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增加债务付息支出</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 xml:space="preserve">       </w:t>
      </w:r>
    </w:p>
    <w:p w14:paraId="2D01964B">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24064FEE">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万元，用于召开全市数据工作会暨数据要求X头脑风暴会议用餐</w:t>
      </w:r>
      <w:r>
        <w:rPr>
          <w:rFonts w:hint="eastAsia" w:ascii="Times New Roman" w:hAnsi="Times New Roman" w:eastAsia="仿宋_GB2312"/>
          <w:sz w:val="32"/>
          <w:szCs w:val="32"/>
          <w:lang w:eastAsia="zh-CN"/>
        </w:rPr>
        <w:t>、高效办成一件事工作推进会会议用餐、永州市创青春青年创新创业大赛参会人员用餐等</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eastAsia="zh-CN"/>
        </w:rPr>
        <w:t>约</w:t>
      </w:r>
      <w:r>
        <w:rPr>
          <w:rFonts w:hint="eastAsia" w:ascii="Times New Roman" w:hAnsi="Times New Roman" w:eastAsia="仿宋_GB2312"/>
          <w:sz w:val="32"/>
          <w:szCs w:val="32"/>
          <w:lang w:val="en-US" w:eastAsia="zh-CN"/>
        </w:rPr>
        <w:t>260</w:t>
      </w:r>
      <w:r>
        <w:rPr>
          <w:rFonts w:hint="eastAsia" w:ascii="Times New Roman" w:hAnsi="Times New Roman" w:eastAsia="仿宋_GB2312"/>
          <w:sz w:val="32"/>
          <w:szCs w:val="32"/>
        </w:rPr>
        <w:t>人，内容为全市数据工作会</w:t>
      </w:r>
      <w:r>
        <w:rPr>
          <w:rFonts w:hint="eastAsia" w:ascii="Times New Roman" w:hAnsi="Times New Roman" w:eastAsia="仿宋_GB2312"/>
          <w:sz w:val="32"/>
          <w:szCs w:val="32"/>
          <w:lang w:eastAsia="zh-CN"/>
        </w:rPr>
        <w:t>、高效办成一件事工作、数据要素大赛湖南分赛项目申报等</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2.13</w:t>
      </w:r>
      <w:r>
        <w:rPr>
          <w:rFonts w:hint="eastAsia" w:ascii="Times New Roman" w:hAnsi="Times New Roman" w:eastAsia="仿宋_GB2312"/>
          <w:sz w:val="32"/>
          <w:szCs w:val="32"/>
        </w:rPr>
        <w:t>万元，用于开展开展</w:t>
      </w:r>
      <w:r>
        <w:rPr>
          <w:rFonts w:hint="eastAsia" w:ascii="仿宋_GB2312" w:hAnsi="仿宋_GB2312" w:eastAsia="仿宋_GB2312" w:cs="仿宋_GB2312"/>
          <w:sz w:val="32"/>
          <w:szCs w:val="32"/>
          <w:lang w:eastAsia="zh-CN"/>
        </w:rPr>
        <w:t>事业单位人员岗前及在岗</w:t>
      </w:r>
      <w:r>
        <w:rPr>
          <w:rFonts w:hint="eastAsia" w:ascii="仿宋_GB2312" w:hAnsi="仿宋_GB2312" w:eastAsia="仿宋_GB2312" w:cs="仿宋_GB2312"/>
          <w:sz w:val="32"/>
          <w:szCs w:val="32"/>
        </w:rPr>
        <w:t>培训</w:t>
      </w:r>
      <w:r>
        <w:rPr>
          <w:rFonts w:hint="eastAsia" w:ascii="仿宋_GB2312" w:hAnsi="仿宋_GB2312" w:eastAsia="仿宋_GB2312" w:cs="仿宋_GB2312"/>
          <w:sz w:val="32"/>
          <w:szCs w:val="32"/>
          <w:lang w:eastAsia="zh-CN"/>
        </w:rPr>
        <w:t>、加高效办成一件事业务培训、数据要素专项培训服务等</w:t>
      </w:r>
      <w:r>
        <w:rPr>
          <w:rFonts w:hint="eastAsia" w:ascii="Times New Roman" w:hAnsi="Times New Roman" w:eastAsia="仿宋_GB2312"/>
          <w:sz w:val="32"/>
          <w:szCs w:val="32"/>
        </w:rPr>
        <w:t>，人数</w:t>
      </w:r>
      <w:r>
        <w:rPr>
          <w:rFonts w:hint="eastAsia" w:ascii="Times New Roman" w:hAnsi="Times New Roman" w:eastAsia="仿宋_GB2312"/>
          <w:sz w:val="32"/>
          <w:szCs w:val="32"/>
          <w:lang w:eastAsia="zh-CN"/>
        </w:rPr>
        <w:t>约</w:t>
      </w:r>
      <w:r>
        <w:rPr>
          <w:rFonts w:hint="eastAsia" w:ascii="Times New Roman" w:hAnsi="Times New Roman" w:eastAsia="仿宋_GB2312"/>
          <w:sz w:val="32"/>
          <w:szCs w:val="32"/>
          <w:lang w:val="en-US" w:eastAsia="zh-CN"/>
        </w:rPr>
        <w:t>250</w:t>
      </w:r>
      <w:r>
        <w:rPr>
          <w:rFonts w:hint="eastAsia" w:ascii="Times New Roman" w:hAnsi="Times New Roman" w:eastAsia="仿宋_GB2312"/>
          <w:sz w:val="32"/>
          <w:szCs w:val="32"/>
        </w:rPr>
        <w:t>人，内容为</w:t>
      </w:r>
      <w:r>
        <w:rPr>
          <w:rFonts w:hint="eastAsia" w:ascii="仿宋_GB2312" w:hAnsi="仿宋_GB2312" w:eastAsia="仿宋_GB2312" w:cs="仿宋_GB2312"/>
          <w:sz w:val="32"/>
          <w:szCs w:val="32"/>
          <w:lang w:eastAsia="zh-CN"/>
        </w:rPr>
        <w:t>湖南省事业单位人员管理培训内容、高效办成一件事业务知识、数据要素专项培训业务知识等</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2024年</w:t>
      </w:r>
      <w:r>
        <w:rPr>
          <w:rFonts w:hint="eastAsia" w:ascii="Times New Roman" w:hAnsi="Times New Roman" w:eastAsia="仿宋_GB2312"/>
          <w:sz w:val="32"/>
          <w:szCs w:val="32"/>
          <w:lang w:eastAsia="zh-CN"/>
        </w:rPr>
        <w:t>未</w:t>
      </w:r>
      <w:r>
        <w:rPr>
          <w:rFonts w:hint="eastAsia" w:ascii="Times New Roman" w:hAnsi="Times New Roman" w:eastAsia="仿宋_GB2312"/>
          <w:sz w:val="32"/>
          <w:szCs w:val="32"/>
        </w:rPr>
        <w:t>举办节庆、晚会、论坛、赛事活动，开支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70F6BC63">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2E395977">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r>
        <w:rPr>
          <w:rFonts w:hint="eastAsia" w:ascii="Times New Roman" w:hAnsi="Times New Roman" w:eastAsia="仿宋_GB2312"/>
          <w:sz w:val="32"/>
          <w:szCs w:val="32"/>
        </w:rPr>
        <w:t>本部门</w:t>
      </w: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2061.05</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25.14</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1273.02</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762.89</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1030.45</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万元，占授予中小企业合同总额的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 xml:space="preserve">  </w:t>
      </w:r>
    </w:p>
    <w:p w14:paraId="6C4A7FBF">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14:paraId="6D275A63">
      <w:pPr>
        <w:pStyle w:val="16"/>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永州市数据局（永州市行政审批服务局）</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38DFF047">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黑体" w:hAnsi="黑体" w:eastAsia="黑体" w:cs="黑体"/>
          <w:b w:val="0"/>
          <w:bCs/>
          <w:sz w:val="32"/>
          <w:szCs w:val="32"/>
        </w:rPr>
        <w:t>年度预算绩效情况的说明</w:t>
      </w:r>
    </w:p>
    <w:p w14:paraId="57C8F881">
      <w:pPr>
        <w:overflowPunct w:val="0"/>
        <w:spacing w:line="600" w:lineRule="exact"/>
        <w:ind w:firstLine="640" w:firstLineChars="200"/>
        <w:rPr>
          <w:rFonts w:ascii="Times New Roman" w:hAnsi="Times New Roman" w:eastAsia="楷体" w:cs="Times New Roman"/>
          <w:b/>
          <w:bCs/>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ascii="Times New Roman" w:hAnsi="Times New Roman" w:eastAsia="仿宋_GB2312" w:cs="Times New Roman"/>
          <w:kern w:val="0"/>
          <w:sz w:val="32"/>
          <w:szCs w:val="32"/>
        </w:rPr>
        <w:t>组织对2024年度本部门（单位）整体支出开展绩效自评，涉及项目</w:t>
      </w:r>
      <w:r>
        <w:rPr>
          <w:rFonts w:hint="eastAsia" w:ascii="Times New Roman" w:hAnsi="Times New Roman" w:eastAsia="仿宋_GB2312" w:cs="Times New Roman"/>
          <w:kern w:val="0"/>
          <w:sz w:val="32"/>
          <w:szCs w:val="32"/>
          <w:lang w:val="en-US" w:eastAsia="zh-CN"/>
        </w:rPr>
        <w:t>2</w:t>
      </w:r>
      <w:r>
        <w:rPr>
          <w:rFonts w:ascii="Times New Roman" w:hAnsi="Times New Roman" w:eastAsia="仿宋_GB2312" w:cs="Times New Roman"/>
          <w:kern w:val="0"/>
          <w:sz w:val="32"/>
          <w:szCs w:val="32"/>
        </w:rPr>
        <w:t>个，共涉及资金</w:t>
      </w:r>
      <w:r>
        <w:rPr>
          <w:rFonts w:hint="eastAsia" w:ascii="Times New Roman" w:hAnsi="Times New Roman" w:eastAsia="仿宋_GB2312" w:cs="Times New Roman"/>
          <w:kern w:val="0"/>
          <w:sz w:val="32"/>
          <w:szCs w:val="32"/>
          <w:lang w:val="en-US" w:eastAsia="zh-CN"/>
        </w:rPr>
        <w:t>2396.35</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1</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1811.61</w:t>
      </w:r>
      <w:r>
        <w:rPr>
          <w:rFonts w:ascii="Times New Roman" w:hAnsi="Times New Roman" w:eastAsia="仿宋_GB2312" w:cs="Times New Roman"/>
          <w:kern w:val="0"/>
          <w:sz w:val="32"/>
          <w:szCs w:val="32"/>
        </w:rPr>
        <w:t>万元，占一般公共预算支出总额的</w:t>
      </w:r>
      <w:r>
        <w:rPr>
          <w:rFonts w:hint="eastAsia" w:ascii="Times New Roman" w:hAnsi="Times New Roman" w:eastAsia="仿宋_GB2312" w:cs="Times New Roman"/>
          <w:kern w:val="0"/>
          <w:sz w:val="32"/>
          <w:szCs w:val="32"/>
          <w:lang w:val="en-US" w:eastAsia="zh-CN"/>
        </w:rPr>
        <w:t>76.21</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万元，占政府性基金预算支出总额的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万元，占国有资本经营预算支出总额的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万元，占社会保险基金预算支出总额的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其他收入预算项目1个，共涉及资金584.74万元</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二是部门评价开展情况（如有，一级预算部门填写）。</w:t>
      </w:r>
      <w:r>
        <w:rPr>
          <w:rFonts w:ascii="Times New Roman" w:hAnsi="Times New Roman" w:eastAsia="仿宋_GB2312" w:cs="Times New Roman"/>
          <w:kern w:val="0"/>
          <w:sz w:val="32"/>
          <w:szCs w:val="32"/>
        </w:rPr>
        <w:t>组织对所属单位2024年度“</w:t>
      </w:r>
      <w:r>
        <w:rPr>
          <w:rFonts w:hint="eastAsia" w:ascii="Times New Roman" w:hAnsi="Times New Roman" w:eastAsia="仿宋_GB2312" w:cs="Times New Roman"/>
          <w:sz w:val="32"/>
          <w:szCs w:val="32"/>
          <w:lang w:eastAsia="zh-CN"/>
        </w:rPr>
        <w:t>政务服务专项经费</w:t>
      </w:r>
      <w:r>
        <w:rPr>
          <w:rFonts w:ascii="Times New Roman" w:hAnsi="Times New Roman" w:eastAsia="仿宋_GB2312" w:cs="Times New Roman"/>
          <w:kern w:val="0"/>
          <w:sz w:val="32"/>
          <w:szCs w:val="32"/>
        </w:rPr>
        <w:t>”“</w:t>
      </w:r>
      <w:r>
        <w:rPr>
          <w:rFonts w:hint="eastAsia" w:ascii="Times New Roman" w:hAnsi="Times New Roman" w:eastAsia="仿宋_GB2312" w:cs="Times New Roman"/>
          <w:sz w:val="32"/>
          <w:szCs w:val="32"/>
          <w:lang w:val="en-US" w:eastAsia="zh-CN"/>
        </w:rPr>
        <w:t>2024年公共服务信息化运维专项</w:t>
      </w:r>
      <w:r>
        <w:rPr>
          <w:rFonts w:ascii="Times New Roman" w:hAnsi="Times New Roman" w:eastAsia="仿宋_GB2312" w:cs="Times New Roman"/>
          <w:kern w:val="0"/>
          <w:sz w:val="32"/>
          <w:szCs w:val="32"/>
        </w:rPr>
        <w:t>”等</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kern w:val="0"/>
          <w:sz w:val="32"/>
          <w:szCs w:val="32"/>
        </w:rPr>
        <w:t>个项目开展了部门评价，涉及一般公共预算支出</w:t>
      </w:r>
      <w:r>
        <w:rPr>
          <w:rFonts w:hint="eastAsia" w:ascii="Times New Roman" w:hAnsi="Times New Roman" w:eastAsia="仿宋_GB2312" w:cs="Times New Roman"/>
          <w:sz w:val="32"/>
          <w:szCs w:val="32"/>
          <w:lang w:val="en-US" w:eastAsia="zh-CN"/>
        </w:rPr>
        <w:t>1811.35</w:t>
      </w:r>
      <w:r>
        <w:rPr>
          <w:rFonts w:ascii="Times New Roman" w:hAnsi="Times New Roman" w:eastAsia="仿宋_GB2312" w:cs="Times New Roman"/>
          <w:kern w:val="0"/>
          <w:sz w:val="32"/>
          <w:szCs w:val="32"/>
        </w:rPr>
        <w:t>万元，政府性基金预算支出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万元，国有资本经营预算支出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万元，社会保险基金预算支出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eastAsia="zh-CN"/>
        </w:rPr>
        <w:t>，其他支出</w:t>
      </w:r>
      <w:r>
        <w:rPr>
          <w:rFonts w:hint="eastAsia" w:ascii="Times New Roman" w:hAnsi="Times New Roman" w:eastAsia="仿宋_GB2312" w:cs="Times New Roman"/>
          <w:kern w:val="0"/>
          <w:sz w:val="32"/>
          <w:szCs w:val="32"/>
          <w:lang w:val="en-US" w:eastAsia="zh-CN"/>
        </w:rPr>
        <w:t>584.74万元</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三是事前绩效评估开展情况。</w:t>
      </w:r>
      <w:r>
        <w:rPr>
          <w:rFonts w:ascii="Times New Roman" w:hAnsi="Times New Roman" w:eastAsia="仿宋_GB2312" w:cs="Times New Roman"/>
          <w:kern w:val="0"/>
          <w:sz w:val="32"/>
          <w:szCs w:val="32"/>
        </w:rPr>
        <w:t>组织对2024年度</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kern w:val="0"/>
          <w:sz w:val="32"/>
          <w:szCs w:val="32"/>
        </w:rPr>
        <w:t>个重大项目开展事前绩效评估，共涉及资金</w:t>
      </w:r>
      <w:r>
        <w:rPr>
          <w:rFonts w:hint="eastAsia" w:ascii="Times New Roman" w:hAnsi="Times New Roman" w:eastAsia="仿宋_GB2312" w:cs="Times New Roman"/>
          <w:kern w:val="0"/>
          <w:sz w:val="32"/>
          <w:szCs w:val="32"/>
          <w:lang w:val="en-US" w:eastAsia="zh-CN"/>
        </w:rPr>
        <w:t>2396.35</w:t>
      </w:r>
      <w:r>
        <w:rPr>
          <w:rFonts w:ascii="Times New Roman" w:hAnsi="Times New Roman" w:eastAsia="仿宋_GB2312" w:cs="Times New Roman"/>
          <w:kern w:val="0"/>
          <w:sz w:val="32"/>
          <w:szCs w:val="32"/>
        </w:rPr>
        <w:t>万元。</w:t>
      </w:r>
    </w:p>
    <w:p w14:paraId="5BCC940B">
      <w:pPr>
        <w:keepNext w:val="0"/>
        <w:keepLines w:val="0"/>
        <w:pageBreakBefore w:val="0"/>
        <w:widowControl w:val="0"/>
        <w:numPr>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一是绩效自评结果。</w:t>
      </w:r>
      <w:r>
        <w:rPr>
          <w:rFonts w:ascii="Times New Roman" w:hAnsi="Times New Roman" w:eastAsia="仿宋_GB2312" w:cs="Times New Roman"/>
          <w:kern w:val="0"/>
          <w:sz w:val="32"/>
          <w:szCs w:val="32"/>
        </w:rPr>
        <w:t>2024年度本部门（单位）整体支出</w:t>
      </w:r>
      <w:r>
        <w:rPr>
          <w:rFonts w:ascii="Times New Roman" w:hAnsi="Times New Roman" w:eastAsia="仿宋_GB2312" w:cs="Times New Roman"/>
          <w:sz w:val="32"/>
          <w:szCs w:val="32"/>
        </w:rPr>
        <w:t>全年预算数</w:t>
      </w:r>
      <w:r>
        <w:rPr>
          <w:rFonts w:hint="eastAsia" w:ascii="Times New Roman" w:hAnsi="Times New Roman" w:eastAsia="仿宋_GB2312" w:cs="Times New Roman"/>
          <w:sz w:val="32"/>
          <w:szCs w:val="32"/>
          <w:lang w:val="en-US" w:eastAsia="zh-CN"/>
        </w:rPr>
        <w:t>4020.95</w:t>
      </w:r>
      <w:r>
        <w:rPr>
          <w:rFonts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3983.10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99.06</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sz w:val="32"/>
          <w:szCs w:val="32"/>
          <w:lang w:val="en-US" w:eastAsia="zh-CN"/>
        </w:rPr>
        <w:t>99.91</w:t>
      </w:r>
      <w:r>
        <w:rPr>
          <w:rFonts w:ascii="Times New Roman" w:hAnsi="Times New Roman" w:eastAsia="仿宋_GB2312" w:cs="Times New Roman"/>
          <w:sz w:val="32"/>
          <w:szCs w:val="32"/>
        </w:rPr>
        <w:t>分</w:t>
      </w:r>
      <w:r>
        <w:rPr>
          <w:rFonts w:ascii="Times New Roman" w:hAnsi="Times New Roman" w:eastAsia="仿宋_GB2312" w:cs="Times New Roman"/>
          <w:kern w:val="0"/>
          <w:sz w:val="32"/>
          <w:szCs w:val="32"/>
        </w:rPr>
        <w:t>，评价等级为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优秀</w:t>
      </w:r>
      <w:r>
        <w:rPr>
          <w:rFonts w:ascii="Times New Roman" w:hAnsi="Times New Roman" w:eastAsia="仿宋_GB2312" w:cs="Times New Roman"/>
          <w:sz w:val="32"/>
          <w:szCs w:val="32"/>
        </w:rPr>
        <w:t>”。绩效目标完成情况：一是</w:t>
      </w:r>
      <w:r>
        <w:rPr>
          <w:rFonts w:hint="eastAsia" w:ascii="Times New Roman" w:hAnsi="Times New Roman" w:eastAsia="仿宋_GB2312" w:cs="Times New Roman"/>
          <w:kern w:val="0"/>
          <w:sz w:val="32"/>
          <w:szCs w:val="32"/>
          <w:lang w:val="en-US" w:eastAsia="zh-CN"/>
        </w:rPr>
        <w:t>数字化建设统筹发力</w:t>
      </w:r>
      <w:r>
        <w:rPr>
          <w:rFonts w:ascii="Times New Roman" w:hAnsi="Times New Roman" w:eastAsia="仿宋_GB2312" w:cs="Times New Roman"/>
          <w:sz w:val="32"/>
          <w:szCs w:val="32"/>
        </w:rPr>
        <w:t>；二是</w:t>
      </w:r>
      <w:r>
        <w:rPr>
          <w:rFonts w:hint="eastAsia" w:ascii="Times New Roman" w:hAnsi="Times New Roman" w:eastAsia="仿宋_GB2312" w:cs="Times New Roman"/>
          <w:sz w:val="32"/>
          <w:szCs w:val="32"/>
          <w:lang w:val="en-US" w:eastAsia="zh-CN"/>
        </w:rPr>
        <w:t>“高效办成一件事”落地见效，三是</w:t>
      </w:r>
      <w:r>
        <w:rPr>
          <w:rFonts w:hint="eastAsia" w:ascii="Times New Roman" w:hAnsi="Times New Roman" w:eastAsia="仿宋_GB2312" w:cs="Times New Roman"/>
          <w:kern w:val="0"/>
          <w:sz w:val="32"/>
          <w:szCs w:val="32"/>
          <w:lang w:val="en-US" w:eastAsia="zh-CN"/>
        </w:rPr>
        <w:t>政务服务效能持续提升，四是</w:t>
      </w:r>
      <w:r>
        <w:rPr>
          <w:rFonts w:hint="eastAsia" w:ascii="Times New Roman" w:hAnsi="Times New Roman" w:eastAsia="仿宋_GB2312" w:cs="Times New Roman"/>
          <w:sz w:val="32"/>
          <w:szCs w:val="32"/>
          <w:lang w:val="en-US" w:eastAsia="zh-CN"/>
        </w:rPr>
        <w:t>数据要素赋能千行百业</w:t>
      </w:r>
      <w:r>
        <w:rPr>
          <w:rFonts w:ascii="Times New Roman" w:hAnsi="Times New Roman" w:eastAsia="仿宋_GB2312" w:cs="Times New Roman"/>
          <w:sz w:val="32"/>
          <w:szCs w:val="32"/>
        </w:rPr>
        <w:t>。发现的主要问题及原因：一是</w:t>
      </w:r>
      <w:r>
        <w:rPr>
          <w:rFonts w:hint="eastAsia" w:ascii="仿宋_GB2312" w:eastAsia="仿宋_GB2312"/>
          <w:sz w:val="32"/>
          <w:szCs w:val="32"/>
        </w:rPr>
        <w:t>监督管理机制还有待完善和加强</w:t>
      </w:r>
      <w:r>
        <w:rPr>
          <w:rFonts w:ascii="Times New Roman" w:hAnsi="Times New Roman" w:eastAsia="仿宋_GB2312" w:cs="Times New Roman"/>
          <w:sz w:val="32"/>
          <w:szCs w:val="32"/>
        </w:rPr>
        <w:t>；二是</w:t>
      </w:r>
      <w:r>
        <w:rPr>
          <w:rFonts w:hint="eastAsia" w:ascii="仿宋_GB2312" w:eastAsia="仿宋_GB2312"/>
          <w:sz w:val="32"/>
          <w:szCs w:val="32"/>
        </w:rPr>
        <w:t>财务人员的专业水平有待提升</w:t>
      </w:r>
      <w:r>
        <w:rPr>
          <w:rFonts w:hint="eastAsia" w:ascii="仿宋_GB2312" w:eastAsia="仿宋_GB2312"/>
          <w:sz w:val="32"/>
          <w:szCs w:val="32"/>
          <w:lang w:eastAsia="zh-CN"/>
        </w:rPr>
        <w:t>，三是</w:t>
      </w:r>
      <w:r>
        <w:rPr>
          <w:rFonts w:hint="eastAsia" w:ascii="仿宋_GB2312" w:hAnsi="仿宋_GB2312" w:eastAsia="仿宋_GB2312" w:cs="仿宋_GB2312"/>
          <w:bCs/>
          <w:sz w:val="32"/>
          <w:szCs w:val="32"/>
          <w:lang w:eastAsia="zh-CN"/>
        </w:rPr>
        <w:t>专项资金财政保障力度有待进一步加强</w:t>
      </w:r>
      <w:r>
        <w:rPr>
          <w:rFonts w:ascii="Times New Roman" w:hAnsi="Times New Roman" w:eastAsia="仿宋_GB2312" w:cs="Times New Roman"/>
          <w:sz w:val="32"/>
          <w:szCs w:val="32"/>
        </w:rPr>
        <w:t>。下一步改进措施：一是</w:t>
      </w:r>
      <w:r>
        <w:rPr>
          <w:rFonts w:hint="eastAsia" w:ascii="仿宋_GB2312" w:eastAsia="仿宋_GB2312"/>
          <w:sz w:val="32"/>
          <w:szCs w:val="32"/>
        </w:rPr>
        <w:t>加强财务监管</w:t>
      </w:r>
      <w:r>
        <w:rPr>
          <w:rFonts w:hint="eastAsia" w:ascii="仿宋_GB2312" w:eastAsia="仿宋_GB2312"/>
          <w:sz w:val="32"/>
          <w:szCs w:val="32"/>
          <w:lang w:eastAsia="zh-CN"/>
        </w:rPr>
        <w:t>，</w:t>
      </w:r>
      <w:r>
        <w:rPr>
          <w:rFonts w:hint="eastAsia" w:ascii="仿宋_GB2312" w:eastAsia="仿宋_GB2312"/>
          <w:sz w:val="32"/>
          <w:szCs w:val="32"/>
        </w:rPr>
        <w:t>通过购买第三方机构内控和绩效管理服务，引导群众参与监督等措施，进一步做好内控和监督工作</w:t>
      </w:r>
      <w:r>
        <w:rPr>
          <w:rFonts w:ascii="Times New Roman" w:hAnsi="Times New Roman" w:eastAsia="仿宋_GB2312" w:cs="Times New Roman"/>
          <w:sz w:val="32"/>
          <w:szCs w:val="32"/>
        </w:rPr>
        <w:t>；二是</w:t>
      </w:r>
      <w:r>
        <w:rPr>
          <w:rFonts w:hint="eastAsia" w:ascii="仿宋_GB2312" w:eastAsia="仿宋_GB2312"/>
          <w:sz w:val="32"/>
          <w:szCs w:val="32"/>
        </w:rPr>
        <w:t>严格按财务制度办事，提升财务人员专业水平</w:t>
      </w:r>
      <w:r>
        <w:rPr>
          <w:rFonts w:hint="eastAsia" w:ascii="仿宋_GB2312" w:eastAsia="仿宋_GB2312"/>
          <w:sz w:val="32"/>
          <w:szCs w:val="32"/>
          <w:lang w:eastAsia="zh-CN"/>
        </w:rPr>
        <w:t>，</w:t>
      </w:r>
      <w:r>
        <w:rPr>
          <w:rFonts w:hint="eastAsia" w:ascii="仿宋_GB2312" w:eastAsia="仿宋_GB2312"/>
          <w:sz w:val="32"/>
          <w:szCs w:val="32"/>
        </w:rPr>
        <w:t>财务工作人员的业务能力要与时俱进，不断加强学习，</w:t>
      </w:r>
      <w:r>
        <w:rPr>
          <w:rFonts w:hint="eastAsia" w:ascii="仿宋_GB2312" w:eastAsia="仿宋_GB2312"/>
          <w:sz w:val="32"/>
          <w:szCs w:val="32"/>
          <w:lang w:eastAsia="zh-CN"/>
        </w:rPr>
        <w:t>认真学习</w:t>
      </w:r>
      <w:r>
        <w:rPr>
          <w:rFonts w:hint="eastAsia" w:ascii="仿宋_GB2312" w:eastAsia="仿宋_GB2312"/>
          <w:sz w:val="32"/>
          <w:szCs w:val="32"/>
        </w:rPr>
        <w:t>市财政局组织</w:t>
      </w:r>
      <w:r>
        <w:rPr>
          <w:rFonts w:hint="eastAsia" w:ascii="仿宋_GB2312" w:eastAsia="仿宋_GB2312"/>
          <w:sz w:val="32"/>
          <w:szCs w:val="32"/>
          <w:lang w:eastAsia="zh-CN"/>
        </w:rPr>
        <w:t>的</w:t>
      </w:r>
      <w:r>
        <w:rPr>
          <w:rFonts w:hint="eastAsia" w:ascii="仿宋_GB2312" w:eastAsia="仿宋_GB2312"/>
          <w:sz w:val="32"/>
          <w:szCs w:val="32"/>
        </w:rPr>
        <w:t>业务方面的理论培训和实操训练</w:t>
      </w:r>
      <w:r>
        <w:rPr>
          <w:rFonts w:hint="eastAsia" w:ascii="仿宋_GB2312" w:eastAsia="仿宋_GB2312"/>
          <w:sz w:val="32"/>
          <w:szCs w:val="32"/>
          <w:lang w:eastAsia="zh-CN"/>
        </w:rPr>
        <w:t>；三是</w:t>
      </w:r>
      <w:r>
        <w:rPr>
          <w:rFonts w:hint="eastAsia" w:ascii="仿宋_GB2312" w:hAnsi="Times New Roman" w:eastAsia="仿宋_GB2312" w:cs="Times New Roman"/>
          <w:sz w:val="32"/>
          <w:szCs w:val="32"/>
          <w:lang w:val="en-US" w:eastAsia="zh-CN"/>
        </w:rPr>
        <w:t>加大专项工作财力保障力度</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将部分需定期支付的信息化项目纳入预算内，</w:t>
      </w:r>
      <w:r>
        <w:rPr>
          <w:rFonts w:hint="eastAsia" w:ascii="仿宋" w:hAnsi="仿宋" w:eastAsia="仿宋" w:cs="宋体"/>
          <w:color w:val="auto"/>
          <w:sz w:val="32"/>
          <w:szCs w:val="32"/>
        </w:rPr>
        <w:t>争取省政府支持，加大专项工作经费投入，减少资金缺口，确保专项工作开展、专款专用</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二是部门评价结果。</w:t>
      </w:r>
      <w:r>
        <w:rPr>
          <w:rFonts w:hint="eastAsia" w:ascii="Times New Roman" w:hAnsi="Times New Roman" w:eastAsia="仿宋_GB2312" w:cs="Times New Roman"/>
          <w:sz w:val="32"/>
          <w:szCs w:val="32"/>
          <w:lang w:eastAsia="zh-CN"/>
        </w:rPr>
        <w:t>政务服务专项经费</w:t>
      </w:r>
      <w:r>
        <w:rPr>
          <w:rFonts w:ascii="Times New Roman" w:hAnsi="Times New Roman" w:eastAsia="仿宋_GB2312" w:cs="Times New Roman"/>
          <w:sz w:val="32"/>
          <w:szCs w:val="32"/>
        </w:rPr>
        <w:t>项目全年预算数</w:t>
      </w:r>
      <w:r>
        <w:rPr>
          <w:rFonts w:hint="eastAsia" w:ascii="Times New Roman" w:hAnsi="Times New Roman" w:eastAsia="仿宋_GB2312" w:cs="Times New Roman"/>
          <w:sz w:val="32"/>
          <w:szCs w:val="32"/>
          <w:lang w:val="en-US" w:eastAsia="zh-CN"/>
        </w:rPr>
        <w:t>392</w:t>
      </w:r>
      <w:r>
        <w:rPr>
          <w:rFonts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392</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w:t>
      </w:r>
      <w:r>
        <w:rPr>
          <w:rFonts w:ascii="Times New Roman" w:hAnsi="Times New Roman" w:eastAsia="仿宋_GB2312" w:cs="Times New Roman"/>
          <w:sz w:val="32"/>
          <w:szCs w:val="32"/>
        </w:rPr>
        <w:t>部门评价得分</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分，评价等级为“</w:t>
      </w:r>
      <w:r>
        <w:rPr>
          <w:rFonts w:hint="eastAsia" w:ascii="Times New Roman" w:hAnsi="Times New Roman" w:eastAsia="仿宋_GB2312" w:cs="Times New Roman"/>
          <w:sz w:val="32"/>
          <w:szCs w:val="32"/>
          <w:lang w:eastAsia="zh-CN"/>
        </w:rPr>
        <w:t>优秀</w:t>
      </w:r>
      <w:r>
        <w:rPr>
          <w:rFonts w:ascii="Times New Roman" w:hAnsi="Times New Roman" w:eastAsia="仿宋_GB2312" w:cs="Times New Roman"/>
          <w:sz w:val="32"/>
          <w:szCs w:val="32"/>
        </w:rPr>
        <w:t>”。发现的主要问题及原因：</w:t>
      </w:r>
      <w:r>
        <w:rPr>
          <w:rFonts w:hint="eastAsia" w:ascii="Times New Roman" w:hAnsi="Times New Roman" w:eastAsia="仿宋_GB2312" w:cs="Times New Roman"/>
          <w:sz w:val="32"/>
          <w:szCs w:val="32"/>
          <w:lang w:eastAsia="zh-CN"/>
        </w:rPr>
        <w:t>无</w:t>
      </w:r>
      <w:r>
        <w:rPr>
          <w:rFonts w:ascii="Times New Roman" w:hAnsi="Times New Roman" w:eastAsia="仿宋_GB2312" w:cs="Times New Roman"/>
          <w:sz w:val="32"/>
          <w:szCs w:val="32"/>
        </w:rPr>
        <w:t>。下一步改进措施：</w:t>
      </w:r>
      <w:r>
        <w:rPr>
          <w:rFonts w:hint="eastAsia" w:ascii="Times New Roman" w:hAnsi="Times New Roman" w:eastAsia="仿宋_GB2312" w:cs="Times New Roman"/>
          <w:sz w:val="32"/>
          <w:szCs w:val="32"/>
          <w:lang w:eastAsia="zh-CN"/>
        </w:rPr>
        <w:t>无</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2024年公共服务信息化运维专项</w:t>
      </w:r>
      <w:r>
        <w:rPr>
          <w:rFonts w:ascii="Times New Roman" w:hAnsi="Times New Roman" w:eastAsia="仿宋_GB2312" w:cs="Times New Roman"/>
          <w:sz w:val="32"/>
          <w:szCs w:val="32"/>
        </w:rPr>
        <w:t>项目全年预算数</w:t>
      </w:r>
      <w:r>
        <w:rPr>
          <w:rFonts w:hint="eastAsia" w:ascii="Times New Roman" w:hAnsi="Times New Roman" w:eastAsia="仿宋_GB2312" w:cs="Times New Roman"/>
          <w:sz w:val="32"/>
          <w:szCs w:val="32"/>
          <w:lang w:val="en-US" w:eastAsia="zh-CN"/>
        </w:rPr>
        <w:t>2004.35</w:t>
      </w:r>
      <w:r>
        <w:rPr>
          <w:rFonts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2004.35</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w:t>
      </w:r>
      <w:r>
        <w:rPr>
          <w:rFonts w:ascii="Times New Roman" w:hAnsi="Times New Roman" w:eastAsia="仿宋_GB2312" w:cs="Times New Roman"/>
          <w:sz w:val="32"/>
          <w:szCs w:val="32"/>
        </w:rPr>
        <w:t>部门评价得分</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分，评价等级为“</w:t>
      </w:r>
      <w:r>
        <w:rPr>
          <w:rFonts w:hint="eastAsia" w:ascii="Times New Roman" w:hAnsi="Times New Roman" w:eastAsia="仿宋_GB2312" w:cs="Times New Roman"/>
          <w:sz w:val="32"/>
          <w:szCs w:val="32"/>
          <w:lang w:eastAsia="zh-CN"/>
        </w:rPr>
        <w:t>优秀</w:t>
      </w:r>
      <w:r>
        <w:rPr>
          <w:rFonts w:ascii="Times New Roman" w:hAnsi="Times New Roman" w:eastAsia="仿宋_GB2312" w:cs="Times New Roman"/>
          <w:sz w:val="32"/>
          <w:szCs w:val="32"/>
        </w:rPr>
        <w:t>”。发现的主要问题及原因：</w:t>
      </w:r>
      <w:r>
        <w:rPr>
          <w:rFonts w:hint="eastAsia" w:ascii="Times New Roman" w:hAnsi="Times New Roman" w:eastAsia="仿宋_GB2312" w:cs="Times New Roman"/>
          <w:sz w:val="32"/>
          <w:szCs w:val="32"/>
          <w:lang w:eastAsia="zh-CN"/>
        </w:rPr>
        <w:t>一是</w:t>
      </w:r>
      <w:r>
        <w:rPr>
          <w:rFonts w:hint="eastAsia" w:ascii="Times New Roman" w:hAnsi="Times New Roman" w:eastAsia="仿宋_GB2312" w:cs="Times New Roman"/>
          <w:sz w:val="32"/>
          <w:szCs w:val="32"/>
        </w:rPr>
        <w:t>信息化项目管理还不够精细</w:t>
      </w:r>
      <w:r>
        <w:rPr>
          <w:rFonts w:hint="eastAsia" w:ascii="Times New Roman" w:hAnsi="Times New Roman" w:eastAsia="仿宋_GB2312" w:cs="Times New Roman"/>
          <w:sz w:val="32"/>
          <w:szCs w:val="32"/>
          <w:lang w:eastAsia="zh-CN"/>
        </w:rPr>
        <w:t>；二是信息化项目资产部分未入账</w:t>
      </w:r>
      <w:r>
        <w:rPr>
          <w:rFonts w:ascii="Times New Roman" w:hAnsi="Times New Roman" w:eastAsia="仿宋_GB2312" w:cs="Times New Roman"/>
          <w:sz w:val="32"/>
          <w:szCs w:val="32"/>
        </w:rPr>
        <w:t>。下一步改进措施：</w:t>
      </w:r>
      <w:r>
        <w:rPr>
          <w:rFonts w:hint="eastAsia" w:ascii="Times New Roman" w:hAnsi="Times New Roman" w:eastAsia="仿宋_GB2312" w:cs="Times New Roman"/>
          <w:sz w:val="32"/>
          <w:szCs w:val="32"/>
          <w:lang w:eastAsia="zh-CN"/>
        </w:rPr>
        <w:t>一是</w:t>
      </w:r>
      <w:r>
        <w:rPr>
          <w:rFonts w:hint="eastAsia" w:ascii="Times New Roman" w:hAnsi="Times New Roman" w:eastAsia="仿宋_GB2312" w:cs="Times New Roman"/>
          <w:sz w:val="32"/>
          <w:szCs w:val="32"/>
          <w:lang w:val="en-US" w:eastAsia="zh-CN"/>
        </w:rPr>
        <w:t>进一步加强信息化项目管理，适时开展专项培训，进行相关项目学习；二是本单位将进一步加强全市信息化项目的知识产权管理，进一步规范和加强信息化建设形成的资产管理，及时分门别类进行资产入账</w:t>
      </w:r>
      <w:r>
        <w:rPr>
          <w:rFonts w:ascii="Times New Roman" w:hAnsi="Times New Roman" w:eastAsia="仿宋_GB2312" w:cs="Times New Roman"/>
          <w:sz w:val="32"/>
          <w:szCs w:val="32"/>
        </w:rPr>
        <w:t>。</w:t>
      </w:r>
      <w:r>
        <w:rPr>
          <w:rFonts w:ascii="Times New Roman" w:hAnsi="Times New Roman" w:eastAsia="仿宋_GB2312" w:cs="Times New Roman"/>
          <w:b/>
          <w:bCs/>
          <w:kern w:val="0"/>
          <w:sz w:val="32"/>
          <w:szCs w:val="32"/>
        </w:rPr>
        <w:t>三是事前绩效评估结果。</w:t>
      </w:r>
      <w:r>
        <w:rPr>
          <w:rFonts w:ascii="Times New Roman" w:hAnsi="Times New Roman" w:eastAsia="仿宋_GB2312" w:cs="Times New Roman"/>
          <w:kern w:val="0"/>
          <w:sz w:val="32"/>
          <w:szCs w:val="32"/>
        </w:rPr>
        <w:t>2024年度</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kern w:val="0"/>
          <w:sz w:val="32"/>
          <w:szCs w:val="32"/>
        </w:rPr>
        <w:t>个重大项目事前绩效评估，其中，</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kern w:val="0"/>
          <w:sz w:val="32"/>
          <w:szCs w:val="32"/>
        </w:rPr>
        <w:t>个项目评估通过，涉及资金</w:t>
      </w:r>
      <w:r>
        <w:rPr>
          <w:rFonts w:hint="eastAsia" w:ascii="Times New Roman" w:hAnsi="Times New Roman" w:eastAsia="仿宋_GB2312" w:cs="Times New Roman"/>
          <w:sz w:val="32"/>
          <w:szCs w:val="32"/>
          <w:lang w:val="en-US" w:eastAsia="zh-CN"/>
        </w:rPr>
        <w:t>2396.35</w:t>
      </w:r>
      <w:r>
        <w:rPr>
          <w:rFonts w:ascii="Times New Roman" w:hAnsi="Times New Roman" w:eastAsia="仿宋_GB2312" w:cs="Times New Roman"/>
          <w:kern w:val="0"/>
          <w:sz w:val="32"/>
          <w:szCs w:val="32"/>
        </w:rPr>
        <w:t>万元，</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个项目评估不通过，涉及资金</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w:t>
      </w:r>
    </w:p>
    <w:p w14:paraId="4D4867DD">
      <w:pPr>
        <w:keepNext w:val="0"/>
        <w:keepLines w:val="0"/>
        <w:pageBreakBefore w:val="0"/>
        <w:widowControl w:val="0"/>
        <w:numPr>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hint="eastAsia" w:ascii="楷体" w:hAnsi="楷体" w:eastAsia="楷体" w:cs="楷体"/>
          <w:b/>
          <w:bCs/>
          <w:sz w:val="32"/>
          <w:szCs w:val="32"/>
          <w:lang w:eastAsia="zh-CN"/>
        </w:rPr>
      </w:pPr>
      <w:r>
        <w:rPr>
          <w:rFonts w:ascii="Times New Roman" w:hAnsi="Times New Roman" w:eastAsia="楷体_GB2312" w:cs="Times New Roman"/>
          <w:b/>
          <w:bCs/>
          <w:color w:val="auto"/>
          <w:kern w:val="2"/>
          <w:sz w:val="32"/>
          <w:szCs w:val="32"/>
        </w:rPr>
        <w:t>（三）评价结果应用情况。</w:t>
      </w:r>
      <w:r>
        <w:rPr>
          <w:rFonts w:hint="eastAsia" w:ascii="Times New Roman" w:hAnsi="Times New Roman" w:eastAsia="仿宋_GB2312"/>
          <w:sz w:val="32"/>
          <w:szCs w:val="32"/>
          <w:lang w:val="en-US" w:eastAsia="zh-CN"/>
        </w:rPr>
        <w:t>2024年，我局坚持政治引领，抓实组织建设，积极开展绩效管理相关工作，首先加强内控管理制度建设，把制度建设作为开展绩效管理的关键环节，进一步增强支出责任和效率意识，全面加强预算管理，优化资源配置，提高财政资金使用效率和科学精细化管理水平，提升政府执行力和公信力；其次，按财政要求积极开展绩效监控，合理安排各项支出，不超预算支出，严控各项支出；最后，完成绩效评价相关工作，在加强预算编制环节的基础上，加强预算执行监管和执行结果评价，将财政监督渗透到预算管理的事前、事中、事后各个环节。</w:t>
      </w:r>
    </w:p>
    <w:p w14:paraId="204E6051">
      <w:pPr>
        <w:pStyle w:val="16"/>
        <w:jc w:val="center"/>
        <w:rPr>
          <w:rFonts w:hint="eastAsia" w:ascii="方正小标宋_GBK" w:hAnsi="方正小标宋_GBK" w:eastAsia="方正小标宋_GBK" w:cs="方正小标宋_GBK"/>
          <w:sz w:val="72"/>
          <w:szCs w:val="72"/>
        </w:rPr>
      </w:pPr>
    </w:p>
    <w:p w14:paraId="60079F94">
      <w:pPr>
        <w:pStyle w:val="16"/>
        <w:jc w:val="both"/>
        <w:rPr>
          <w:rFonts w:hint="eastAsia" w:ascii="方正小标宋_GBK" w:hAnsi="方正小标宋_GBK" w:eastAsia="方正小标宋_GBK" w:cs="方正小标宋_GBK"/>
          <w:sz w:val="72"/>
          <w:szCs w:val="72"/>
        </w:rPr>
      </w:pPr>
    </w:p>
    <w:p w14:paraId="7A94DC50">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75756321">
      <w:pPr>
        <w:widowControl/>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一、财政拨款收入：指财政当年拨付的资金，主要包括一般公共预算财政拨款，政府性基金预算财政拨款，国有资本经营预算财政拨款。</w:t>
      </w:r>
    </w:p>
    <w:p w14:paraId="70B4632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二、上级补助收入：指事业单位从主管部门和上级单位取得的非财政补助收入。 </w:t>
      </w:r>
    </w:p>
    <w:p w14:paraId="0D66287E">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三、事业收入：指事业单位开展专业业务活动及辅助活动所取得的收入。 </w:t>
      </w:r>
    </w:p>
    <w:p w14:paraId="2343B02A">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四、经营收入：指事业单位在专业业务活动及其辅助活动之外开展非独立核算经营活动取得的收入。 </w:t>
      </w:r>
    </w:p>
    <w:p w14:paraId="18F64BD3">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五、附属单位上缴收入：指事业单位附属独立核算单位按照有关规定上缴的收入。 </w:t>
      </w:r>
    </w:p>
    <w:p w14:paraId="5A69D4F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六、其他收入：指除上述“财政拨款收入”、“事业收入”、“经营收入”等以外的收入。 </w:t>
      </w:r>
    </w:p>
    <w:p w14:paraId="0FA403A1">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七、基本支出：指为保障机构正常运转、完成日常工作任务而发生的各项支出，包括人员支出和公用支出。  </w:t>
      </w:r>
    </w:p>
    <w:p w14:paraId="55D55E13">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八、项目支出：指在基本支出以外为完成相关行政任务和事业发展目标所发生的各项支出。  </w:t>
      </w:r>
    </w:p>
    <w:p w14:paraId="623B4189">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九、“三公”经费：指通过财政拨款资金安排的因公出国（境）费、公务用车购置及运行费和公务接待费支出。  </w:t>
      </w:r>
    </w:p>
    <w:p w14:paraId="390EE298">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14:paraId="7AFE558F">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49572CE0">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100ED32F">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317642E5">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0645E6E4">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1C54CA80">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209BBA99">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3B24D62B">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749BF305">
      <w:pPr>
        <w:pStyle w:val="16"/>
        <w:jc w:val="center"/>
        <w:rPr>
          <w:rFonts w:hint="eastAsia" w:ascii="方正小标宋_GBK" w:hAnsi="方正小标宋_GBK" w:eastAsia="方正小标宋_GBK" w:cs="方正小标宋_GBK"/>
          <w:sz w:val="72"/>
          <w:szCs w:val="72"/>
        </w:rPr>
      </w:pPr>
    </w:p>
    <w:p w14:paraId="04459FB1">
      <w:pPr>
        <w:pStyle w:val="16"/>
        <w:jc w:val="center"/>
        <w:rPr>
          <w:rFonts w:hint="eastAsia" w:ascii="方正小标宋_GBK" w:hAnsi="方正小标宋_GBK" w:eastAsia="方正小标宋_GBK" w:cs="方正小标宋_GBK"/>
          <w:sz w:val="72"/>
          <w:szCs w:val="72"/>
        </w:rPr>
      </w:pPr>
    </w:p>
    <w:p w14:paraId="2E21A16D">
      <w:pPr>
        <w:pStyle w:val="16"/>
        <w:jc w:val="center"/>
        <w:rPr>
          <w:rFonts w:hint="eastAsia" w:ascii="方正小标宋_GBK" w:hAnsi="方正小标宋_GBK" w:eastAsia="方正小标宋_GBK" w:cs="方正小标宋_GBK"/>
          <w:sz w:val="72"/>
          <w:szCs w:val="72"/>
        </w:rPr>
      </w:pPr>
    </w:p>
    <w:p w14:paraId="16FFA84C">
      <w:pPr>
        <w:pStyle w:val="16"/>
        <w:jc w:val="center"/>
        <w:rPr>
          <w:rFonts w:hint="eastAsia" w:ascii="方正小标宋_GBK" w:hAnsi="方正小标宋_GBK" w:eastAsia="方正小标宋_GBK" w:cs="方正小标宋_GBK"/>
          <w:sz w:val="72"/>
          <w:szCs w:val="72"/>
        </w:rPr>
      </w:pPr>
    </w:p>
    <w:p w14:paraId="720EB38B">
      <w:pPr>
        <w:pStyle w:val="16"/>
        <w:jc w:val="center"/>
        <w:rPr>
          <w:rFonts w:hint="eastAsia" w:ascii="方正小标宋_GBK" w:hAnsi="方正小标宋_GBK" w:eastAsia="方正小标宋_GBK" w:cs="方正小标宋_GBK"/>
          <w:sz w:val="72"/>
          <w:szCs w:val="72"/>
        </w:rPr>
      </w:pPr>
    </w:p>
    <w:p w14:paraId="5BFE6153">
      <w:pPr>
        <w:pStyle w:val="16"/>
        <w:jc w:val="center"/>
        <w:rPr>
          <w:rFonts w:hint="eastAsia" w:ascii="方正小标宋_GBK" w:hAnsi="方正小标宋_GBK" w:eastAsia="方正小标宋_GBK" w:cs="方正小标宋_GBK"/>
          <w:sz w:val="72"/>
          <w:szCs w:val="72"/>
        </w:rPr>
      </w:pPr>
    </w:p>
    <w:p w14:paraId="0390E227">
      <w:pPr>
        <w:pStyle w:val="16"/>
        <w:jc w:val="center"/>
        <w:rPr>
          <w:rFonts w:hint="eastAsia" w:ascii="方正小标宋_GBK" w:hAnsi="方正小标宋_GBK" w:eastAsia="方正小标宋_GBK" w:cs="方正小标宋_GBK"/>
          <w:sz w:val="72"/>
          <w:szCs w:val="72"/>
        </w:rPr>
      </w:pPr>
    </w:p>
    <w:p w14:paraId="131486A9">
      <w:pPr>
        <w:pStyle w:val="16"/>
        <w:jc w:val="center"/>
        <w:rPr>
          <w:rFonts w:hint="eastAsia" w:ascii="方正小标宋_GBK" w:hAnsi="方正小标宋_GBK" w:eastAsia="方正小标宋_GBK" w:cs="方正小标宋_GBK"/>
          <w:sz w:val="72"/>
          <w:szCs w:val="72"/>
        </w:rPr>
      </w:pPr>
    </w:p>
    <w:p w14:paraId="734862AB">
      <w:pPr>
        <w:pStyle w:val="16"/>
        <w:jc w:val="center"/>
        <w:rPr>
          <w:rFonts w:hint="eastAsia" w:ascii="方正小标宋_GBK" w:hAnsi="方正小标宋_GBK" w:eastAsia="方正小标宋_GBK" w:cs="方正小标宋_GBK"/>
          <w:sz w:val="72"/>
          <w:szCs w:val="72"/>
        </w:rPr>
      </w:pPr>
    </w:p>
    <w:p w14:paraId="409F672A">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17858562">
      <w:pPr>
        <w:pStyle w:val="16"/>
        <w:jc w:val="center"/>
        <w:rPr>
          <w:rFonts w:hint="eastAsia" w:ascii="方正小标宋_GBK" w:hAnsi="方正小标宋_GBK" w:eastAsia="方正小标宋_GBK" w:cs="方正小标宋_GBK"/>
          <w:sz w:val="70"/>
          <w:szCs w:val="70"/>
          <w:lang w:eastAsia="zh-CN"/>
        </w:rPr>
      </w:pPr>
    </w:p>
    <w:p w14:paraId="24B4AD9C">
      <w:pPr>
        <w:pStyle w:val="16"/>
        <w:jc w:val="center"/>
        <w:rPr>
          <w:rFonts w:hint="eastAsia" w:ascii="Times New Roman" w:hAnsi="Times New Roman" w:eastAsia="仿宋_GB2312"/>
          <w:sz w:val="32"/>
          <w:szCs w:val="32"/>
          <w:lang w:val="en-US" w:eastAsia="zh-CN"/>
        </w:rPr>
      </w:pPr>
    </w:p>
    <w:p w14:paraId="0EA6CECC">
      <w:pPr>
        <w:pStyle w:val="16"/>
        <w:jc w:val="center"/>
        <w:rPr>
          <w:rFonts w:hint="eastAsia" w:ascii="Times New Roman" w:hAnsi="Times New Roman" w:eastAsia="仿宋_GB2312"/>
          <w:sz w:val="32"/>
          <w:szCs w:val="32"/>
          <w:lang w:val="en-US" w:eastAsia="zh-CN"/>
        </w:rPr>
      </w:pPr>
    </w:p>
    <w:p w14:paraId="3B517753">
      <w:pPr>
        <w:pStyle w:val="16"/>
        <w:jc w:val="center"/>
        <w:rPr>
          <w:rFonts w:hint="eastAsia" w:ascii="Times New Roman" w:hAnsi="Times New Roman" w:eastAsia="仿宋_GB2312"/>
          <w:sz w:val="32"/>
          <w:szCs w:val="32"/>
          <w:lang w:val="en-US" w:eastAsia="zh-CN"/>
        </w:rPr>
      </w:pPr>
    </w:p>
    <w:p w14:paraId="21EF3D3C">
      <w:pPr>
        <w:pStyle w:val="16"/>
        <w:jc w:val="center"/>
        <w:rPr>
          <w:rFonts w:hint="eastAsia" w:ascii="Times New Roman" w:hAnsi="Times New Roman" w:eastAsia="仿宋_GB2312"/>
          <w:sz w:val="32"/>
          <w:szCs w:val="32"/>
          <w:lang w:val="en-US" w:eastAsia="zh-CN"/>
        </w:rPr>
      </w:pPr>
    </w:p>
    <w:p w14:paraId="22F37C98">
      <w:pPr>
        <w:pStyle w:val="16"/>
        <w:jc w:val="center"/>
        <w:rPr>
          <w:rFonts w:hint="eastAsia" w:ascii="Times New Roman" w:hAnsi="Times New Roman" w:eastAsia="仿宋_GB2312"/>
          <w:sz w:val="32"/>
          <w:szCs w:val="32"/>
          <w:lang w:val="en-US" w:eastAsia="zh-CN"/>
        </w:rPr>
      </w:pPr>
    </w:p>
    <w:p w14:paraId="14BA1ECD">
      <w:pPr>
        <w:pStyle w:val="16"/>
        <w:jc w:val="center"/>
        <w:rPr>
          <w:rFonts w:hint="eastAsia" w:ascii="Times New Roman" w:hAnsi="Times New Roman" w:eastAsia="仿宋_GB2312"/>
          <w:sz w:val="32"/>
          <w:szCs w:val="32"/>
          <w:lang w:val="en-US" w:eastAsia="zh-CN"/>
        </w:rPr>
      </w:pPr>
    </w:p>
    <w:p w14:paraId="27EE5454">
      <w:pPr>
        <w:pStyle w:val="16"/>
        <w:jc w:val="center"/>
        <w:rPr>
          <w:rFonts w:hint="eastAsia" w:ascii="Times New Roman" w:hAnsi="Times New Roman" w:eastAsia="仿宋_GB2312"/>
          <w:sz w:val="32"/>
          <w:szCs w:val="32"/>
          <w:lang w:val="en-US" w:eastAsia="zh-CN"/>
        </w:rPr>
      </w:pPr>
    </w:p>
    <w:p w14:paraId="37060707">
      <w:pPr>
        <w:pStyle w:val="16"/>
        <w:jc w:val="center"/>
        <w:rPr>
          <w:rFonts w:hint="eastAsia" w:ascii="Times New Roman" w:hAnsi="Times New Roman" w:eastAsia="仿宋_GB2312"/>
          <w:sz w:val="32"/>
          <w:szCs w:val="32"/>
          <w:lang w:val="en-US" w:eastAsia="zh-CN"/>
        </w:rPr>
      </w:pPr>
    </w:p>
    <w:p w14:paraId="03F996BA">
      <w:pPr>
        <w:pStyle w:val="16"/>
        <w:jc w:val="center"/>
        <w:rPr>
          <w:rFonts w:hint="eastAsia" w:ascii="Times New Roman" w:hAnsi="Times New Roman" w:eastAsia="仿宋_GB2312"/>
          <w:sz w:val="32"/>
          <w:szCs w:val="32"/>
          <w:lang w:val="en-US" w:eastAsia="zh-CN"/>
        </w:rPr>
      </w:pPr>
    </w:p>
    <w:p w14:paraId="0A165FBC">
      <w:pPr>
        <w:pStyle w:val="16"/>
        <w:jc w:val="center"/>
        <w:rPr>
          <w:rFonts w:hint="eastAsia" w:ascii="Times New Roman" w:hAnsi="Times New Roman" w:eastAsia="仿宋_GB2312"/>
          <w:sz w:val="32"/>
          <w:szCs w:val="32"/>
          <w:lang w:val="en-US" w:eastAsia="zh-CN"/>
        </w:rPr>
      </w:pPr>
    </w:p>
    <w:p w14:paraId="64956679">
      <w:pPr>
        <w:pStyle w:val="16"/>
        <w:jc w:val="center"/>
        <w:rPr>
          <w:rFonts w:hint="eastAsia" w:ascii="Times New Roman" w:hAnsi="Times New Roman" w:eastAsia="仿宋_GB2312"/>
          <w:sz w:val="32"/>
          <w:szCs w:val="32"/>
          <w:lang w:val="en-US" w:eastAsia="zh-CN"/>
        </w:rPr>
      </w:pPr>
    </w:p>
    <w:p w14:paraId="7B123AB5">
      <w:pPr>
        <w:pStyle w:val="16"/>
        <w:jc w:val="center"/>
        <w:rPr>
          <w:rFonts w:hint="eastAsia" w:ascii="Times New Roman" w:hAnsi="Times New Roman" w:eastAsia="仿宋_GB2312"/>
          <w:sz w:val="32"/>
          <w:szCs w:val="32"/>
          <w:lang w:val="en-US" w:eastAsia="zh-CN"/>
        </w:rPr>
      </w:pPr>
    </w:p>
    <w:p w14:paraId="3AEA4F60">
      <w:pPr>
        <w:pStyle w:val="16"/>
        <w:jc w:val="both"/>
        <w:rPr>
          <w:rFonts w:hint="eastAsia" w:ascii="Times New Roman" w:hAnsi="Times New Roman" w:eastAsia="仿宋_GB2312"/>
          <w:sz w:val="32"/>
          <w:szCs w:val="32"/>
          <w:lang w:val="en-US" w:eastAsia="zh-CN"/>
        </w:rPr>
      </w:pPr>
    </w:p>
    <w:p w14:paraId="61ACF3D6">
      <w:pPr>
        <w:jc w:val="center"/>
        <w:rPr>
          <w:rFonts w:hint="eastAsia" w:ascii="方正小标宋简体" w:eastAsia="方正小标宋简体"/>
          <w:sz w:val="52"/>
          <w:szCs w:val="52"/>
        </w:rPr>
      </w:pPr>
      <w:r>
        <w:rPr>
          <w:rFonts w:hint="eastAsia" w:ascii="方正小标宋简体" w:eastAsia="方正小标宋简体"/>
          <w:sz w:val="52"/>
          <w:szCs w:val="52"/>
        </w:rPr>
        <w:t>202</w:t>
      </w:r>
      <w:r>
        <w:rPr>
          <w:rFonts w:hint="eastAsia" w:ascii="方正小标宋简体" w:eastAsia="方正小标宋简体"/>
          <w:sz w:val="52"/>
          <w:szCs w:val="52"/>
          <w:lang w:val="en-US" w:eastAsia="zh-CN"/>
        </w:rPr>
        <w:t>4</w:t>
      </w:r>
      <w:r>
        <w:rPr>
          <w:rFonts w:hint="eastAsia" w:ascii="方正小标宋简体" w:eastAsia="方正小标宋简体"/>
          <w:sz w:val="52"/>
          <w:szCs w:val="52"/>
        </w:rPr>
        <w:t>年度</w:t>
      </w:r>
      <w:r>
        <w:rPr>
          <w:rFonts w:hint="eastAsia" w:ascii="方正小标宋简体" w:eastAsia="方正小标宋简体"/>
          <w:sz w:val="52"/>
          <w:szCs w:val="52"/>
          <w:lang w:eastAsia="zh-CN"/>
        </w:rPr>
        <w:t>永州市数据局（永州市行政审批服务局）</w:t>
      </w:r>
      <w:r>
        <w:rPr>
          <w:rFonts w:hint="eastAsia" w:ascii="方正小标宋简体" w:eastAsia="方正小标宋简体"/>
          <w:sz w:val="52"/>
          <w:szCs w:val="52"/>
        </w:rPr>
        <w:t>整体支出绩效自评报告</w:t>
      </w:r>
    </w:p>
    <w:p w14:paraId="19D637BB">
      <w:pPr>
        <w:jc w:val="center"/>
        <w:rPr>
          <w:rFonts w:eastAsia="方正小标宋_GBK"/>
          <w:b/>
          <w:sz w:val="52"/>
          <w:szCs w:val="52"/>
        </w:rPr>
      </w:pPr>
    </w:p>
    <w:p w14:paraId="64F0E418">
      <w:pPr>
        <w:jc w:val="center"/>
        <w:rPr>
          <w:rFonts w:eastAsia="楷体_GB2312"/>
          <w:b/>
          <w:sz w:val="32"/>
          <w:szCs w:val="32"/>
        </w:rPr>
      </w:pPr>
    </w:p>
    <w:p w14:paraId="66E1B85D">
      <w:pPr>
        <w:jc w:val="center"/>
        <w:rPr>
          <w:rFonts w:eastAsia="楷体_GB2312"/>
          <w:b/>
          <w:sz w:val="32"/>
          <w:szCs w:val="32"/>
        </w:rPr>
      </w:pPr>
    </w:p>
    <w:p w14:paraId="37650200">
      <w:pPr>
        <w:jc w:val="center"/>
        <w:rPr>
          <w:rFonts w:eastAsia="楷体_GB2312"/>
          <w:b/>
          <w:sz w:val="32"/>
          <w:szCs w:val="32"/>
        </w:rPr>
      </w:pPr>
    </w:p>
    <w:p w14:paraId="03BF7F6D">
      <w:pPr>
        <w:jc w:val="center"/>
        <w:rPr>
          <w:rFonts w:eastAsia="楷体_GB2312"/>
          <w:b/>
          <w:sz w:val="32"/>
          <w:szCs w:val="32"/>
        </w:rPr>
      </w:pPr>
    </w:p>
    <w:p w14:paraId="78D1E76B">
      <w:pPr>
        <w:jc w:val="center"/>
        <w:rPr>
          <w:rFonts w:eastAsia="楷体_GB2312"/>
          <w:b/>
          <w:sz w:val="32"/>
          <w:szCs w:val="32"/>
        </w:rPr>
      </w:pPr>
    </w:p>
    <w:p w14:paraId="6F543826">
      <w:pPr>
        <w:jc w:val="center"/>
        <w:rPr>
          <w:rFonts w:eastAsia="楷体_GB2312"/>
          <w:b/>
          <w:sz w:val="32"/>
          <w:szCs w:val="32"/>
        </w:rPr>
      </w:pPr>
    </w:p>
    <w:p w14:paraId="7B1EA2B6">
      <w:pPr>
        <w:jc w:val="center"/>
        <w:rPr>
          <w:rFonts w:eastAsia="黑体"/>
          <w:sz w:val="32"/>
          <w:szCs w:val="32"/>
        </w:rPr>
      </w:pPr>
    </w:p>
    <w:p w14:paraId="51992C89">
      <w:pPr>
        <w:jc w:val="center"/>
        <w:rPr>
          <w:rFonts w:eastAsia="黑体"/>
          <w:sz w:val="32"/>
          <w:szCs w:val="32"/>
        </w:rPr>
      </w:pPr>
    </w:p>
    <w:p w14:paraId="0686791E">
      <w:pPr>
        <w:jc w:val="center"/>
        <w:rPr>
          <w:rFonts w:eastAsia="黑体"/>
          <w:sz w:val="32"/>
          <w:szCs w:val="32"/>
        </w:rPr>
      </w:pPr>
    </w:p>
    <w:p w14:paraId="1B545F55">
      <w:pPr>
        <w:spacing w:line="600" w:lineRule="exact"/>
        <w:ind w:firstLine="960" w:firstLineChars="300"/>
        <w:rPr>
          <w:rFonts w:eastAsia="仿宋_GB2312"/>
          <w:sz w:val="32"/>
          <w:szCs w:val="32"/>
        </w:rPr>
      </w:pPr>
    </w:p>
    <w:p w14:paraId="0EE760B8">
      <w:pPr>
        <w:pStyle w:val="2"/>
      </w:pPr>
      <w:bookmarkStart w:id="17" w:name="_GoBack"/>
      <w:bookmarkEnd w:id="17"/>
    </w:p>
    <w:p w14:paraId="6DE28066">
      <w:pPr>
        <w:spacing w:line="600" w:lineRule="exact"/>
        <w:rPr>
          <w:rFonts w:eastAsia="仿宋_GB2312"/>
          <w:sz w:val="32"/>
          <w:szCs w:val="32"/>
          <w:u w:val="single"/>
        </w:rPr>
      </w:pPr>
      <w:r>
        <w:rPr>
          <w:rFonts w:eastAsia="仿宋_GB2312"/>
          <w:sz w:val="32"/>
          <w:szCs w:val="32"/>
        </w:rPr>
        <w:t>单位名称：</w:t>
      </w:r>
      <w:r>
        <w:rPr>
          <w:rFonts w:eastAsia="仿宋_GB2312"/>
          <w:sz w:val="32"/>
          <w:szCs w:val="32"/>
          <w:u w:val="single"/>
        </w:rPr>
        <w:t>（盖章）</w:t>
      </w:r>
      <w:r>
        <w:rPr>
          <w:rFonts w:hint="eastAsia" w:eastAsia="仿宋_GB2312"/>
          <w:sz w:val="32"/>
          <w:szCs w:val="32"/>
          <w:u w:val="single"/>
          <w:lang w:eastAsia="zh-CN"/>
        </w:rPr>
        <w:t>永州市数据局（永州市行政审批服务局）</w:t>
      </w:r>
      <w:r>
        <w:rPr>
          <w:rFonts w:eastAsia="仿宋_GB2312"/>
          <w:sz w:val="32"/>
          <w:szCs w:val="32"/>
          <w:u w:val="single"/>
        </w:rPr>
        <w:t xml:space="preserve"> </w:t>
      </w:r>
    </w:p>
    <w:p w14:paraId="0A718F38">
      <w:pPr>
        <w:spacing w:line="600" w:lineRule="exact"/>
        <w:ind w:firstLine="3200" w:firstLineChars="1000"/>
        <w:rPr>
          <w:rFonts w:eastAsia="楷体_GB2312"/>
          <w:sz w:val="32"/>
          <w:szCs w:val="32"/>
        </w:rPr>
      </w:pPr>
      <w:r>
        <w:rPr>
          <w:rFonts w:hint="eastAsia" w:eastAsia="楷体_GB2312"/>
          <w:sz w:val="32"/>
          <w:szCs w:val="32"/>
          <w:lang w:val="en-US" w:eastAsia="zh-CN"/>
        </w:rPr>
        <w:t>2025</w:t>
      </w:r>
      <w:r>
        <w:rPr>
          <w:rFonts w:eastAsia="楷体_GB2312"/>
          <w:sz w:val="32"/>
          <w:szCs w:val="32"/>
        </w:rPr>
        <w:t xml:space="preserve">年 </w:t>
      </w:r>
      <w:r>
        <w:rPr>
          <w:rFonts w:hint="eastAsia" w:eastAsia="楷体_GB2312"/>
          <w:sz w:val="32"/>
          <w:szCs w:val="32"/>
          <w:lang w:val="en-US" w:eastAsia="zh-CN"/>
        </w:rPr>
        <w:t>4</w:t>
      </w:r>
      <w:r>
        <w:rPr>
          <w:rFonts w:eastAsia="楷体_GB2312"/>
          <w:sz w:val="32"/>
          <w:szCs w:val="32"/>
        </w:rPr>
        <w:t xml:space="preserve"> 月</w:t>
      </w:r>
      <w:r>
        <w:rPr>
          <w:rFonts w:hint="eastAsia" w:eastAsia="楷体_GB2312"/>
          <w:sz w:val="32"/>
          <w:szCs w:val="32"/>
          <w:lang w:val="en-US" w:eastAsia="zh-CN"/>
        </w:rPr>
        <w:t>15</w:t>
      </w:r>
      <w:r>
        <w:rPr>
          <w:rFonts w:eastAsia="楷体_GB2312"/>
          <w:sz w:val="32"/>
          <w:szCs w:val="32"/>
        </w:rPr>
        <w:t>日</w:t>
      </w:r>
    </w:p>
    <w:p w14:paraId="51CF0FEA">
      <w:pPr>
        <w:jc w:val="center"/>
        <w:rPr>
          <w:rFonts w:eastAsia="黑体"/>
          <w:sz w:val="32"/>
          <w:szCs w:val="32"/>
        </w:rPr>
      </w:pPr>
    </w:p>
    <w:p w14:paraId="4C4ABD02">
      <w:pPr>
        <w:numPr>
          <w:ilvl w:val="0"/>
          <w:numId w:val="0"/>
        </w:numPr>
        <w:spacing w:line="570" w:lineRule="exact"/>
        <w:ind w:firstLine="320" w:firstLineChars="100"/>
        <w:rPr>
          <w:rFonts w:hint="eastAsia" w:ascii="黑体" w:hAnsi="黑体" w:eastAsia="黑体" w:cs="黑体"/>
          <w:sz w:val="32"/>
          <w:szCs w:val="32"/>
        </w:rPr>
      </w:pPr>
    </w:p>
    <w:p w14:paraId="4C517F94">
      <w:pPr>
        <w:pStyle w:val="2"/>
        <w:rPr>
          <w:rFonts w:hint="eastAsia" w:ascii="黑体" w:hAnsi="黑体" w:eastAsia="黑体" w:cs="黑体"/>
          <w:sz w:val="32"/>
          <w:szCs w:val="32"/>
        </w:rPr>
      </w:pPr>
    </w:p>
    <w:p w14:paraId="52B019E4">
      <w:pPr>
        <w:numPr>
          <w:ilvl w:val="0"/>
          <w:numId w:val="0"/>
        </w:numPr>
        <w:spacing w:line="570" w:lineRule="exact"/>
        <w:ind w:firstLine="320" w:firstLineChars="100"/>
        <w:rPr>
          <w:rFonts w:hint="eastAsia" w:ascii="黑体" w:hAnsi="黑体" w:eastAsia="黑体" w:cs="黑体"/>
          <w:sz w:val="32"/>
          <w:szCs w:val="32"/>
        </w:rPr>
      </w:pPr>
    </w:p>
    <w:p w14:paraId="464873DF">
      <w:pPr>
        <w:numPr>
          <w:ilvl w:val="0"/>
          <w:numId w:val="0"/>
        </w:numPr>
        <w:spacing w:line="570" w:lineRule="exact"/>
        <w:ind w:firstLine="320" w:firstLineChars="100"/>
        <w:rPr>
          <w:rFonts w:eastAsia="黑体"/>
          <w:sz w:val="32"/>
          <w:szCs w:val="32"/>
        </w:rPr>
      </w:pPr>
      <w:r>
        <w:rPr>
          <w:rFonts w:hint="eastAsia" w:ascii="黑体" w:hAnsi="黑体" w:eastAsia="黑体" w:cs="黑体"/>
          <w:sz w:val="32"/>
          <w:szCs w:val="32"/>
        </w:rPr>
        <w:t>一、</w:t>
      </w:r>
      <w:r>
        <w:rPr>
          <w:rFonts w:eastAsia="黑体"/>
          <w:sz w:val="32"/>
          <w:szCs w:val="32"/>
        </w:rPr>
        <w:t>部门（单位）基本情况</w:t>
      </w:r>
    </w:p>
    <w:p w14:paraId="4E4E95A7">
      <w:pPr>
        <w:widowControl w:val="0"/>
        <w:shd w:val="clear" w:color="auto" w:fill="FFFFFF"/>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（一）部门（单位）职能职责、机构编制、人员构成等。</w:t>
      </w:r>
    </w:p>
    <w:p w14:paraId="328840B9">
      <w:pPr>
        <w:pStyle w:val="16"/>
        <w:keepNext w:val="0"/>
        <w:keepLines w:val="0"/>
        <w:pageBreakBefore w:val="0"/>
        <w:widowControl w:val="0"/>
        <w:kinsoku/>
        <w:wordWrap/>
        <w:overflowPunct/>
        <w:topLinePunct w:val="0"/>
        <w:bidi w:val="0"/>
        <w:snapToGrid/>
        <w:spacing w:line="560" w:lineRule="exact"/>
        <w:ind w:firstLine="800" w:firstLineChars="250"/>
        <w:textAlignment w:val="auto"/>
        <w:rPr>
          <w:rFonts w:hint="eastAsia" w:ascii="仿宋_GB2312" w:hAnsi="Times New Roman" w:eastAsia="仿宋_GB2312" w:cs="Times New Roman"/>
          <w:b/>
          <w:bCs/>
          <w:color w:val="auto"/>
          <w:kern w:val="2"/>
          <w:sz w:val="32"/>
          <w:szCs w:val="32"/>
          <w:lang w:val="en-US" w:eastAsia="zh-CN" w:bidi="ar-SA"/>
        </w:rPr>
      </w:pPr>
      <w:r>
        <w:rPr>
          <w:rFonts w:hint="eastAsia" w:ascii="仿宋_GB2312" w:hAnsi="Times New Roman" w:eastAsia="仿宋_GB2312" w:cs="Times New Roman"/>
          <w:b/>
          <w:bCs/>
          <w:color w:val="auto"/>
          <w:kern w:val="2"/>
          <w:sz w:val="32"/>
          <w:szCs w:val="32"/>
          <w:lang w:val="en-US" w:eastAsia="zh-CN" w:bidi="ar-SA"/>
        </w:rPr>
        <w:t>1、部门职能职责</w:t>
      </w:r>
    </w:p>
    <w:p w14:paraId="75091170">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永州市数据局（</w:t>
      </w:r>
      <w:r>
        <w:rPr>
          <w:rFonts w:hint="eastAsia" w:ascii="仿宋_GB2312" w:eastAsia="仿宋_GB2312"/>
          <w:sz w:val="32"/>
          <w:szCs w:val="32"/>
        </w:rPr>
        <w:t>永州市行政审批服务局</w:t>
      </w:r>
      <w:r>
        <w:rPr>
          <w:rFonts w:hint="eastAsia" w:ascii="仿宋_GB2312" w:eastAsia="仿宋_GB2312"/>
          <w:sz w:val="32"/>
          <w:szCs w:val="32"/>
          <w:lang w:eastAsia="zh-CN"/>
        </w:rPr>
        <w:t>）</w:t>
      </w:r>
      <w:r>
        <w:rPr>
          <w:rFonts w:hint="eastAsia" w:ascii="仿宋_GB2312" w:eastAsia="仿宋_GB2312"/>
          <w:sz w:val="32"/>
          <w:szCs w:val="32"/>
        </w:rPr>
        <w:t>贯彻落实党中央关于行政审批服务方针政策和决策部署,在履责过程中坚持和加强党对行政审批服务工作的集中统一领导。主要职责是:</w:t>
      </w:r>
    </w:p>
    <w:p w14:paraId="584F06C0">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推进、指导、协调、监督全市政务公开(政府信息公开、办事公开)和政务服务体系建设。承担市政务公开领导小组办公室的日常工作;拟订全市政务公开、政务服务工作发展规划和年度计划，建立和完善相应工作机制;统筹推进、协调监督市直各部门和各县区、管理区、经开区的政务公开和政务服务工作。</w:t>
      </w:r>
    </w:p>
    <w:p w14:paraId="4A664179">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(2)指导、协调、推进全市行政审批制度改革工作。承担市行政审批制度改革领导小组办公室的日常工作;拟订行政审批服务有关制度及管理办法并监督组织实施;牵头负责全市“放管服”改革工作。</w:t>
      </w:r>
    </w:p>
    <w:p w14:paraId="5108DC5A">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(3)统筹协调、规划指导、监督评估全市电子政务工作;统筹推进、协调监督全市“互联网+政务服务”工作;统筹规划、监督考核全市政府系统网站。</w:t>
      </w:r>
    </w:p>
    <w:p w14:paraId="0DE7C682">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(4)统筹协调、规划指导、监督评估全市政务信息化、大数据建设管理和应用等工作;组织协调推进政务数据资源共享和开放工作，统筹政务数据资源的采集、分类、管理、分析和应用工作。</w:t>
      </w:r>
    </w:p>
    <w:p w14:paraId="749002E1">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(5)承担市优化经济发展环境联席会议办公室的日常工作。负责全市优化营商环境工作的组织实施和监督、检查等工作;维护营商政务、法制、信用等环境;协调推进全市行政效能工作。</w:t>
      </w:r>
    </w:p>
    <w:p w14:paraId="303B7D7E">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(6)承担市社会信用体系建设领导小组办公室的日常工作。组织协调、监督推进全市有关国家、省社会信用体系建设的法律法规、决策部署的贯彻落实。拟订并组织实施全市社会信用体系建设的总体规划和政策措施;统筹推进统--的信用信息平台建设，促进信用信息资源的整合与运用，协调社会信用体系建设的重大问题;牵头组织对重点领域和严重失信行为实施联合惩戒。</w:t>
      </w:r>
    </w:p>
    <w:p w14:paraId="58D65788">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(7)承担市政务联动处置领导小组办公室的日常工作。负责拟订全市政务联动处置和城乡网格化建设管理工作规则;统筹规划、指挥协调、管理督导全市12345公共服务热线、政务联动处置和城乡网格化建设。</w:t>
      </w:r>
    </w:p>
    <w:p w14:paraId="557E9AAD">
      <w:pPr>
        <w:widowControl w:val="0"/>
        <w:shd w:val="clear" w:color="auto" w:fill="FFFFFF"/>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(8)完成市委、市人民政府交办的其他任务。</w:t>
      </w:r>
    </w:p>
    <w:p w14:paraId="63A45806">
      <w:pPr>
        <w:pStyle w:val="16"/>
        <w:keepNext w:val="0"/>
        <w:keepLines w:val="0"/>
        <w:pageBreakBefore w:val="0"/>
        <w:widowControl w:val="0"/>
        <w:kinsoku/>
        <w:wordWrap/>
        <w:overflowPunct/>
        <w:topLinePunct w:val="0"/>
        <w:bidi w:val="0"/>
        <w:snapToGrid/>
        <w:spacing w:line="560" w:lineRule="exact"/>
        <w:ind w:firstLine="800" w:firstLineChars="250"/>
        <w:textAlignment w:val="auto"/>
        <w:rPr>
          <w:rFonts w:hint="eastAsia" w:ascii="仿宋_GB2312" w:hAnsi="Times New Roman" w:eastAsia="仿宋_GB2312" w:cs="Times New Roman"/>
          <w:b/>
          <w:bCs/>
          <w:color w:val="auto"/>
          <w:kern w:val="2"/>
          <w:sz w:val="32"/>
          <w:szCs w:val="32"/>
          <w:lang w:val="en-US" w:eastAsia="zh-CN" w:bidi="ar-SA"/>
        </w:rPr>
      </w:pPr>
      <w:r>
        <w:rPr>
          <w:rFonts w:hint="eastAsia" w:ascii="仿宋_GB2312" w:hAnsi="Times New Roman" w:eastAsia="仿宋_GB2312" w:cs="Times New Roman"/>
          <w:b/>
          <w:bCs/>
          <w:color w:val="auto"/>
          <w:kern w:val="2"/>
          <w:sz w:val="32"/>
          <w:szCs w:val="32"/>
          <w:lang w:val="en-US" w:eastAsia="zh-CN" w:bidi="ar-SA"/>
        </w:rPr>
        <w:t>2、机构编制</w:t>
      </w:r>
    </w:p>
    <w:p w14:paraId="2DF99920">
      <w:pPr>
        <w:pStyle w:val="16"/>
        <w:keepNext w:val="0"/>
        <w:keepLines w:val="0"/>
        <w:pageBreakBefore w:val="0"/>
        <w:widowControl w:val="0"/>
        <w:kinsoku/>
        <w:wordWrap/>
        <w:overflowPunct/>
        <w:topLinePunct w:val="0"/>
        <w:bidi w:val="0"/>
        <w:snapToGrid/>
        <w:spacing w:line="560" w:lineRule="exact"/>
        <w:ind w:firstLine="800" w:firstLineChars="25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永州市行政审批服务局于2019年1月13日挂牌正式成立</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2024年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月机构改革</w:t>
      </w:r>
      <w:r>
        <w:rPr>
          <w:rFonts w:hint="eastAsia" w:ascii="仿宋_GB2312" w:hAnsi="仿宋_GB2312" w:eastAsia="仿宋_GB2312" w:cs="仿宋_GB2312"/>
          <w:color w:val="000000"/>
          <w:sz w:val="32"/>
          <w:szCs w:val="32"/>
          <w:lang w:val="en-US" w:eastAsia="zh-CN"/>
        </w:rPr>
        <w:t>成立</w:t>
      </w:r>
      <w:r>
        <w:rPr>
          <w:rFonts w:hint="eastAsia" w:ascii="仿宋_GB2312" w:hAnsi="仿宋_GB2312" w:eastAsia="仿宋_GB2312" w:cs="仿宋_GB2312"/>
          <w:color w:val="000000"/>
          <w:sz w:val="32"/>
          <w:szCs w:val="32"/>
        </w:rPr>
        <w:t>永州市数据局</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加挂永州市行政审批服务局牌子，</w:t>
      </w:r>
      <w:r>
        <w:rPr>
          <w:rFonts w:hint="eastAsia" w:ascii="仿宋_GB2312" w:hAnsi="仿宋_GB2312" w:eastAsia="仿宋_GB2312" w:cs="仿宋_GB2312"/>
          <w:color w:val="000000"/>
          <w:sz w:val="32"/>
          <w:szCs w:val="32"/>
        </w:rPr>
        <w:t>为市政府</w:t>
      </w:r>
      <w:r>
        <w:rPr>
          <w:rFonts w:hint="eastAsia" w:ascii="仿宋_GB2312" w:hAnsi="仿宋_GB2312" w:eastAsia="仿宋_GB2312" w:cs="仿宋_GB2312"/>
          <w:color w:val="000000"/>
          <w:sz w:val="32"/>
          <w:szCs w:val="32"/>
          <w:lang w:val="en-US" w:eastAsia="zh-CN"/>
        </w:rPr>
        <w:t>33</w:t>
      </w:r>
      <w:r>
        <w:rPr>
          <w:rFonts w:hint="eastAsia" w:ascii="仿宋_GB2312" w:hAnsi="仿宋_GB2312" w:eastAsia="仿宋_GB2312" w:cs="仿宋_GB2312"/>
          <w:color w:val="000000"/>
          <w:sz w:val="32"/>
          <w:szCs w:val="32"/>
        </w:rPr>
        <w:t>个工作部门之一。正处级行政部门，核定编制</w:t>
      </w:r>
      <w:r>
        <w:rPr>
          <w:rFonts w:hint="eastAsia" w:ascii="仿宋_GB2312" w:hAnsi="仿宋_GB2312" w:eastAsia="仿宋_GB2312" w:cs="仿宋_GB2312"/>
          <w:color w:val="000000"/>
          <w:sz w:val="32"/>
          <w:szCs w:val="32"/>
          <w:lang w:val="en-US" w:eastAsia="zh-CN"/>
        </w:rPr>
        <w:t>19</w:t>
      </w:r>
      <w:r>
        <w:rPr>
          <w:rFonts w:hint="eastAsia" w:ascii="仿宋_GB2312" w:hAnsi="仿宋_GB2312" w:eastAsia="仿宋_GB2312" w:cs="仿宋_GB2312"/>
          <w:color w:val="000000"/>
          <w:sz w:val="32"/>
          <w:szCs w:val="32"/>
        </w:rPr>
        <w:t>名，内设</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个科室：</w:t>
      </w:r>
      <w:r>
        <w:rPr>
          <w:rFonts w:hint="eastAsia" w:ascii="仿宋_GB2312" w:hAnsi="仿宋_GB2312" w:eastAsia="仿宋_GB2312" w:cs="仿宋_GB2312"/>
          <w:b w:val="0"/>
          <w:bCs w:val="0"/>
          <w:color w:val="000000"/>
          <w:sz w:val="32"/>
          <w:szCs w:val="32"/>
          <w:lang w:val="en-US" w:eastAsia="zh-CN"/>
        </w:rPr>
        <w:t>办公室（财务科）、数据资源与规划科、数字经济与基础设施建设科、数字政务科、政务服务与审批制度改革科、社会信用体系建设管理科、政务联动处置科、营商环境科</w:t>
      </w:r>
      <w:r>
        <w:rPr>
          <w:rFonts w:hint="eastAsia" w:ascii="仿宋_GB2312" w:hAnsi="仿宋_GB2312" w:eastAsia="仿宋_GB2312" w:cs="仿宋_GB2312"/>
          <w:color w:val="000000"/>
          <w:sz w:val="32"/>
          <w:szCs w:val="32"/>
        </w:rPr>
        <w:t>，另设机关党委</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人事科</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下设1个副处级和4个正科级公益一类事业单位，分别是永州市政务服务中心、永州市联动处置指挥中心、永州市人民政府网站、永州市大数据服务中心、永州市优化营商环境和信用体系建设事务中心。2024年较上年机构组成无大变化，下属单位非独立核算，支出纳入本级统一核算。</w:t>
      </w:r>
    </w:p>
    <w:p w14:paraId="303B5554">
      <w:pPr>
        <w:pStyle w:val="16"/>
        <w:keepNext w:val="0"/>
        <w:keepLines w:val="0"/>
        <w:pageBreakBefore w:val="0"/>
        <w:widowControl w:val="0"/>
        <w:kinsoku/>
        <w:wordWrap/>
        <w:overflowPunct/>
        <w:topLinePunct w:val="0"/>
        <w:bidi w:val="0"/>
        <w:snapToGrid/>
        <w:spacing w:line="560" w:lineRule="exact"/>
        <w:ind w:firstLine="800" w:firstLineChars="250"/>
        <w:textAlignment w:val="auto"/>
        <w:rPr>
          <w:rFonts w:hint="eastAsia" w:ascii="仿宋_GB2312" w:hAnsi="Times New Roman" w:eastAsia="仿宋_GB2312" w:cs="Times New Roman"/>
          <w:b/>
          <w:bCs/>
          <w:color w:val="auto"/>
          <w:kern w:val="2"/>
          <w:sz w:val="32"/>
          <w:szCs w:val="32"/>
          <w:lang w:val="en-US" w:eastAsia="zh-CN" w:bidi="ar-SA"/>
        </w:rPr>
      </w:pPr>
      <w:r>
        <w:rPr>
          <w:rFonts w:hint="eastAsia" w:ascii="仿宋_GB2312" w:hAnsi="Times New Roman" w:eastAsia="仿宋_GB2312" w:cs="Times New Roman"/>
          <w:b/>
          <w:bCs/>
          <w:color w:val="auto"/>
          <w:kern w:val="2"/>
          <w:sz w:val="32"/>
          <w:szCs w:val="32"/>
          <w:lang w:val="en-US" w:eastAsia="zh-CN" w:bidi="ar-SA"/>
        </w:rPr>
        <w:t>3、人员构成</w:t>
      </w:r>
    </w:p>
    <w:p w14:paraId="0878E145">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_GB2312" w:hAnsi="仿宋_GB2312" w:eastAsia="仿宋_GB2312" w:cs="仿宋_GB2312"/>
          <w:bCs/>
          <w:kern w:val="0"/>
          <w:sz w:val="32"/>
          <w:szCs w:val="32"/>
          <w:lang w:val="en-US" w:eastAsia="zh-CN" w:bidi="ar-SA"/>
        </w:rPr>
      </w:pPr>
      <w:r>
        <w:rPr>
          <w:rFonts w:hint="eastAsia" w:ascii="仿宋_GB2312" w:hAnsi="仿宋_GB2312" w:eastAsia="仿宋_GB2312" w:cs="仿宋_GB2312"/>
          <w:color w:val="000000"/>
          <w:sz w:val="32"/>
          <w:szCs w:val="32"/>
        </w:rPr>
        <w:t>永州市</w:t>
      </w:r>
      <w:r>
        <w:rPr>
          <w:rFonts w:hint="eastAsia" w:ascii="仿宋_GB2312" w:hAnsi="仿宋_GB2312" w:eastAsia="仿宋_GB2312" w:cs="仿宋_GB2312"/>
          <w:color w:val="000000"/>
          <w:sz w:val="32"/>
          <w:szCs w:val="32"/>
          <w:lang w:val="en-US" w:eastAsia="zh-CN"/>
        </w:rPr>
        <w:t>数据局（永州市</w:t>
      </w:r>
      <w:r>
        <w:rPr>
          <w:rFonts w:hint="eastAsia" w:ascii="仿宋_GB2312" w:hAnsi="仿宋_GB2312" w:eastAsia="仿宋_GB2312" w:cs="仿宋_GB2312"/>
          <w:color w:val="000000"/>
          <w:sz w:val="32"/>
          <w:szCs w:val="32"/>
        </w:rPr>
        <w:t>行政审批服务局</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核定</w:t>
      </w:r>
      <w:r>
        <w:rPr>
          <w:rFonts w:hint="eastAsia" w:ascii="仿宋_GB2312" w:hAnsi="仿宋_GB2312" w:eastAsia="仿宋_GB2312" w:cs="仿宋_GB2312"/>
          <w:color w:val="000000"/>
          <w:sz w:val="32"/>
          <w:szCs w:val="32"/>
          <w:lang w:val="en-US" w:eastAsia="zh-CN"/>
        </w:rPr>
        <w:t>19</w:t>
      </w:r>
      <w:r>
        <w:rPr>
          <w:rFonts w:hint="eastAsia" w:ascii="仿宋_GB2312" w:hAnsi="仿宋_GB2312" w:eastAsia="仿宋_GB2312" w:cs="仿宋_GB2312"/>
          <w:color w:val="000000"/>
          <w:sz w:val="32"/>
          <w:szCs w:val="32"/>
        </w:rPr>
        <w:t>个行政编制，在编在岗人员21名，其中处级领导11人，科级及以下10人，退休2人。5个下属单位核定编制共65个，</w:t>
      </w:r>
      <w:r>
        <w:rPr>
          <w:rFonts w:hint="eastAsia" w:ascii="仿宋_GB2312" w:hAnsi="仿宋_GB2312" w:eastAsia="仿宋_GB2312" w:cs="仿宋_GB2312"/>
          <w:color w:val="000000"/>
          <w:sz w:val="32"/>
          <w:szCs w:val="32"/>
          <w:lang w:val="en-US" w:eastAsia="zh-CN"/>
        </w:rPr>
        <w:t>2024年底实</w:t>
      </w:r>
      <w:r>
        <w:rPr>
          <w:rFonts w:hint="eastAsia" w:ascii="仿宋_GB2312" w:hAnsi="仿宋_GB2312" w:eastAsia="仿宋_GB2312" w:cs="仿宋_GB2312"/>
          <w:color w:val="000000"/>
          <w:sz w:val="32"/>
          <w:szCs w:val="32"/>
        </w:rPr>
        <w:t>有人员</w:t>
      </w:r>
      <w:r>
        <w:rPr>
          <w:rFonts w:hint="eastAsia" w:ascii="仿宋_GB2312" w:hAnsi="仿宋_GB2312" w:eastAsia="仿宋_GB2312" w:cs="仿宋_GB2312"/>
          <w:color w:val="000000"/>
          <w:sz w:val="32"/>
          <w:szCs w:val="32"/>
          <w:lang w:val="en-US" w:eastAsia="zh-CN"/>
        </w:rPr>
        <w:t>50</w:t>
      </w:r>
      <w:r>
        <w:rPr>
          <w:rFonts w:hint="eastAsia" w:ascii="仿宋_GB2312" w:hAnsi="仿宋_GB2312" w:eastAsia="仿宋_GB2312" w:cs="仿宋_GB2312"/>
          <w:color w:val="000000"/>
          <w:sz w:val="32"/>
          <w:szCs w:val="32"/>
        </w:rPr>
        <w:t>名：参公事业单位永州市政务服务中心编制20名、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名，退休人员8名；市联动处置指挥中心编制7名、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有在职人员7名；市</w:t>
      </w:r>
      <w:r>
        <w:rPr>
          <w:rFonts w:hint="eastAsia" w:ascii="仿宋_GB2312" w:hAnsi="仿宋_GB2312" w:eastAsia="仿宋_GB2312" w:cs="仿宋_GB2312"/>
          <w:color w:val="000000"/>
          <w:sz w:val="32"/>
          <w:szCs w:val="32"/>
          <w:lang w:val="en-US" w:eastAsia="zh-CN"/>
        </w:rPr>
        <w:t>人民</w:t>
      </w:r>
      <w:r>
        <w:rPr>
          <w:rFonts w:hint="eastAsia" w:ascii="仿宋_GB2312" w:hAnsi="仿宋_GB2312" w:eastAsia="仿宋_GB2312" w:cs="仿宋_GB2312"/>
          <w:color w:val="000000"/>
          <w:sz w:val="32"/>
          <w:szCs w:val="32"/>
        </w:rPr>
        <w:t>政府网站编制7名、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名；市大数据服务中心编制21名、</w:t>
      </w:r>
      <w:r>
        <w:rPr>
          <w:rFonts w:hint="eastAsia" w:ascii="仿宋_GB2312" w:hAnsi="仿宋_GB2312" w:eastAsia="仿宋_GB2312" w:cs="仿宋_GB2312"/>
          <w:color w:val="000000"/>
          <w:sz w:val="32"/>
          <w:szCs w:val="32"/>
          <w:lang w:val="en-US" w:eastAsia="zh-CN"/>
        </w:rPr>
        <w:t>实</w:t>
      </w:r>
      <w:r>
        <w:rPr>
          <w:rFonts w:hint="eastAsia" w:ascii="仿宋_GB2312" w:hAnsi="仿宋_GB2312" w:eastAsia="仿宋_GB2312" w:cs="仿宋_GB2312"/>
          <w:color w:val="000000"/>
          <w:sz w:val="32"/>
          <w:szCs w:val="32"/>
        </w:rPr>
        <w:t>有在职人员17名，市优化营商环境和信用体系建设事务中心编制10名、现有在职人员10名。综上，我局核定编制共</w:t>
      </w:r>
      <w:r>
        <w:rPr>
          <w:rFonts w:hint="eastAsia" w:ascii="仿宋_GB2312" w:hAnsi="仿宋_GB2312" w:eastAsia="仿宋_GB2312" w:cs="仿宋_GB2312"/>
          <w:color w:val="000000"/>
          <w:sz w:val="32"/>
          <w:szCs w:val="32"/>
          <w:lang w:val="en-US" w:eastAsia="zh-CN"/>
        </w:rPr>
        <w:t>84</w:t>
      </w:r>
      <w:r>
        <w:rPr>
          <w:rFonts w:hint="eastAsia" w:ascii="仿宋_GB2312" w:hAnsi="仿宋_GB2312" w:eastAsia="仿宋_GB2312" w:cs="仿宋_GB2312"/>
          <w:color w:val="000000"/>
          <w:sz w:val="32"/>
          <w:szCs w:val="32"/>
        </w:rPr>
        <w:t>名，2024年末在编在岗人员71名，退休人员10名。2024年年末临聘人员</w:t>
      </w:r>
      <w:r>
        <w:rPr>
          <w:rFonts w:hint="eastAsia" w:ascii="仿宋_GB2312" w:hAnsi="仿宋_GB2312" w:eastAsia="仿宋_GB2312" w:cs="仿宋_GB2312"/>
          <w:color w:val="000000"/>
          <w:sz w:val="32"/>
          <w:szCs w:val="32"/>
          <w:lang w:val="en-US" w:eastAsia="zh-CN"/>
        </w:rPr>
        <w:t>96</w:t>
      </w:r>
      <w:r>
        <w:rPr>
          <w:rFonts w:hint="eastAsia" w:ascii="仿宋_GB2312" w:hAnsi="仿宋_GB2312" w:eastAsia="仿宋_GB2312" w:cs="仿宋_GB2312"/>
          <w:color w:val="000000"/>
          <w:sz w:val="32"/>
          <w:szCs w:val="32"/>
        </w:rPr>
        <w:t>人（含12345话务员和市民中心综合辅助人员等）。</w:t>
      </w:r>
      <w:r>
        <w:rPr>
          <w:rFonts w:hint="eastAsia" w:ascii="仿宋_GB2312" w:hAnsi="仿宋_GB2312" w:eastAsia="仿宋_GB2312" w:cs="仿宋_GB2312"/>
          <w:color w:val="000000"/>
          <w:sz w:val="32"/>
          <w:szCs w:val="32"/>
          <w:lang w:val="en-US" w:eastAsia="zh-CN"/>
        </w:rPr>
        <w:t>2024</w:t>
      </w:r>
      <w:r>
        <w:rPr>
          <w:rFonts w:hint="eastAsia" w:ascii="仿宋_GB2312" w:hAnsi="仿宋_GB2312" w:eastAsia="仿宋_GB2312" w:cs="仿宋_GB2312"/>
          <w:color w:val="000000"/>
          <w:sz w:val="32"/>
          <w:szCs w:val="32"/>
        </w:rPr>
        <w:t>年在编在岗人数71人较上年67增加4人主要原因是通过</w:t>
      </w:r>
      <w:r>
        <w:rPr>
          <w:rFonts w:hint="eastAsia" w:ascii="仿宋_GB2312" w:hAnsi="仿宋_GB2312" w:eastAsia="仿宋_GB2312" w:cs="仿宋_GB2312"/>
          <w:color w:val="000000"/>
          <w:sz w:val="32"/>
          <w:szCs w:val="32"/>
          <w:lang w:val="en-US" w:eastAsia="zh-CN"/>
        </w:rPr>
        <w:t>省考、</w:t>
      </w:r>
      <w:r>
        <w:rPr>
          <w:rFonts w:hint="eastAsia" w:ascii="仿宋_GB2312" w:hAnsi="仿宋_GB2312" w:eastAsia="仿宋_GB2312" w:cs="仿宋_GB2312"/>
          <w:color w:val="000000"/>
          <w:sz w:val="32"/>
          <w:szCs w:val="32"/>
        </w:rPr>
        <w:t>人才引进、遴选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调入等方式综合增加4人。</w:t>
      </w:r>
    </w:p>
    <w:p w14:paraId="726F9A39">
      <w:pPr>
        <w:spacing w:line="570" w:lineRule="exact"/>
        <w:ind w:firstLine="640" w:firstLineChars="200"/>
        <w:rPr>
          <w:rFonts w:hint="eastAsia" w:eastAsia="仿宋_GB2312"/>
          <w:b/>
          <w:bCs/>
          <w:color w:val="000000"/>
          <w:sz w:val="32"/>
          <w:szCs w:val="32"/>
        </w:rPr>
      </w:pPr>
      <w:r>
        <w:rPr>
          <w:rFonts w:hint="eastAsia" w:ascii="仿宋_GB2312" w:eastAsia="仿宋_GB2312"/>
          <w:b/>
          <w:bCs/>
          <w:sz w:val="32"/>
          <w:szCs w:val="32"/>
        </w:rPr>
        <w:t>（二）部门（单位）整体支出规模</w:t>
      </w:r>
      <w:r>
        <w:rPr>
          <w:rFonts w:hint="eastAsia" w:ascii="仿宋_GB2312" w:hAnsi="仿宋_GB2312" w:eastAsia="仿宋_GB2312" w:cs="仿宋_GB2312"/>
          <w:b/>
          <w:bCs/>
          <w:sz w:val="32"/>
          <w:szCs w:val="32"/>
        </w:rPr>
        <w:t>，</w:t>
      </w:r>
      <w:r>
        <w:rPr>
          <w:rFonts w:hint="eastAsia" w:eastAsia="仿宋_GB2312"/>
          <w:b/>
          <w:bCs/>
          <w:color w:val="000000"/>
          <w:sz w:val="32"/>
          <w:szCs w:val="32"/>
        </w:rPr>
        <w:t>包括但不限于部门整体支出情况、部门预算收支决算情况及“三公经费”支出使用和管理情况。</w:t>
      </w:r>
    </w:p>
    <w:p w14:paraId="16705FCB">
      <w:pPr>
        <w:pStyle w:val="16"/>
        <w:keepNext w:val="0"/>
        <w:keepLines w:val="0"/>
        <w:pageBreakBefore w:val="0"/>
        <w:widowControl w:val="0"/>
        <w:numPr>
          <w:ilvl w:val="0"/>
          <w:numId w:val="0"/>
        </w:numPr>
        <w:kinsoku/>
        <w:wordWrap/>
        <w:overflowPunct/>
        <w:topLinePunct w:val="0"/>
        <w:bidi w:val="0"/>
        <w:snapToGrid/>
        <w:spacing w:line="560" w:lineRule="exact"/>
        <w:ind w:firstLine="960" w:firstLineChars="300"/>
        <w:textAlignment w:val="auto"/>
        <w:rPr>
          <w:rFonts w:hint="eastAsia" w:ascii="仿宋_GB2312" w:hAnsi="仿宋_GB2312" w:eastAsia="仿宋_GB2312" w:cs="仿宋_GB2312"/>
          <w:b/>
          <w:bCs w:val="0"/>
          <w:color w:val="auto"/>
          <w:kern w:val="0"/>
          <w:sz w:val="32"/>
          <w:szCs w:val="32"/>
          <w:lang w:val="en-US" w:eastAsia="zh-CN" w:bidi="ar-SA"/>
        </w:rPr>
      </w:pPr>
      <w:r>
        <w:rPr>
          <w:rFonts w:hint="eastAsia" w:ascii="仿宋_GB2312" w:hAnsi="仿宋_GB2312" w:eastAsia="仿宋_GB2312" w:cs="仿宋_GB2312"/>
          <w:b/>
          <w:bCs w:val="0"/>
          <w:color w:val="auto"/>
          <w:kern w:val="0"/>
          <w:sz w:val="32"/>
          <w:szCs w:val="32"/>
          <w:lang w:val="en-US" w:eastAsia="zh-CN" w:bidi="ar-SA"/>
        </w:rPr>
        <w:t>1、部门整体支出情况</w:t>
      </w:r>
    </w:p>
    <w:p w14:paraId="1B4A421B">
      <w:pPr>
        <w:pStyle w:val="2"/>
        <w:ind w:firstLine="640" w:firstLineChars="200"/>
        <w:rPr>
          <w:rFonts w:hint="eastAsia" w:ascii="仿宋_GB2312" w:hAnsi="仿宋_GB2312" w:eastAsia="仿宋_GB2312" w:cs="仿宋_GB2312"/>
          <w:bCs/>
          <w:kern w:val="0"/>
          <w:sz w:val="32"/>
          <w:szCs w:val="32"/>
          <w:lang w:val="en-US" w:eastAsia="zh-CN" w:bidi="ar-SA"/>
        </w:rPr>
      </w:pPr>
      <w:bookmarkStart w:id="16" w:name="_Toc21606"/>
      <w:r>
        <w:rPr>
          <w:rFonts w:hint="eastAsia" w:ascii="仿宋_GB2312" w:hAnsi="仿宋_GB2312" w:eastAsia="仿宋_GB2312" w:cs="仿宋_GB2312"/>
          <w:bCs/>
          <w:kern w:val="0"/>
          <w:sz w:val="32"/>
          <w:szCs w:val="32"/>
          <w:lang w:val="en-US" w:eastAsia="zh-CN" w:bidi="ar-SA"/>
        </w:rPr>
        <w:t>本部门2024年度部门整体支出3983.10万元，整体支出既包括保障局机关及5个下属单位基本运行的经费，也包括政务中心政务服务专项经费、公共服务信息化建设运维等专项经费。</w:t>
      </w:r>
      <w:bookmarkEnd w:id="16"/>
    </w:p>
    <w:p w14:paraId="2A578F45">
      <w:pPr>
        <w:pStyle w:val="16"/>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b/>
          <w:bCs w:val="0"/>
          <w:color w:val="auto"/>
          <w:kern w:val="0"/>
          <w:sz w:val="32"/>
          <w:szCs w:val="32"/>
          <w:lang w:val="en-US" w:eastAsia="zh-CN" w:bidi="ar-SA"/>
        </w:rPr>
      </w:pPr>
      <w:r>
        <w:rPr>
          <w:rFonts w:hint="eastAsia" w:ascii="仿宋_GB2312" w:hAnsi="仿宋_GB2312" w:eastAsia="仿宋_GB2312" w:cs="仿宋_GB2312"/>
          <w:b/>
          <w:bCs w:val="0"/>
          <w:color w:val="auto"/>
          <w:kern w:val="0"/>
          <w:sz w:val="32"/>
          <w:szCs w:val="32"/>
          <w:lang w:val="en-US" w:eastAsia="zh-CN" w:bidi="ar-SA"/>
        </w:rPr>
        <w:t xml:space="preserve"> 2、部门预算收支决算情况</w:t>
      </w:r>
    </w:p>
    <w:p w14:paraId="0926C2C1">
      <w:pPr>
        <w:rPr>
          <w:rFonts w:hint="eastAsia"/>
        </w:rPr>
      </w:pPr>
    </w:p>
    <w:p w14:paraId="24A8FFFB">
      <w:pPr>
        <w:numPr>
          <w:ilvl w:val="0"/>
          <w:numId w:val="0"/>
        </w:numPr>
        <w:ind w:firstLine="640" w:firstLineChars="200"/>
        <w:rPr>
          <w:rFonts w:hint="eastAsia" w:eastAsia="仿宋_GB2312"/>
          <w:lang w:val="en-US" w:eastAsia="zh-CN"/>
        </w:rPr>
      </w:pPr>
      <w:r>
        <w:rPr>
          <w:rFonts w:hint="eastAsia" w:ascii="仿宋_GB2312" w:eastAsia="仿宋_GB2312"/>
          <w:snapToGrid w:val="0"/>
          <w:kern w:val="0"/>
          <w:sz w:val="32"/>
          <w:szCs w:val="32"/>
        </w:rPr>
        <w:t>20</w:t>
      </w:r>
      <w:r>
        <w:rPr>
          <w:rFonts w:hint="eastAsia" w:ascii="仿宋_GB2312" w:eastAsia="仿宋_GB2312"/>
          <w:snapToGrid w:val="0"/>
          <w:kern w:val="0"/>
          <w:sz w:val="32"/>
          <w:szCs w:val="32"/>
          <w:lang w:val="en-US" w:eastAsia="zh-CN"/>
        </w:rPr>
        <w:t>24</w:t>
      </w:r>
      <w:r>
        <w:rPr>
          <w:rFonts w:hint="eastAsia" w:ascii="仿宋_GB2312" w:eastAsia="仿宋_GB2312"/>
          <w:snapToGrid w:val="0"/>
          <w:kern w:val="0"/>
          <w:sz w:val="32"/>
          <w:szCs w:val="32"/>
        </w:rPr>
        <w:t>年收入决算数</w:t>
      </w:r>
      <w:r>
        <w:rPr>
          <w:rFonts w:hint="eastAsia" w:ascii="仿宋_GB2312" w:eastAsia="仿宋_GB2312"/>
          <w:snapToGrid w:val="0"/>
          <w:kern w:val="0"/>
          <w:sz w:val="32"/>
          <w:szCs w:val="32"/>
          <w:lang w:val="en-US" w:eastAsia="zh-CN"/>
        </w:rPr>
        <w:t>3983.10</w:t>
      </w:r>
      <w:r>
        <w:rPr>
          <w:rFonts w:hint="eastAsia" w:ascii="仿宋_GB2312" w:eastAsia="仿宋_GB2312"/>
          <w:snapToGrid w:val="0"/>
          <w:kern w:val="0"/>
          <w:sz w:val="32"/>
          <w:szCs w:val="32"/>
        </w:rPr>
        <w:t>万元，</w:t>
      </w:r>
      <w:r>
        <w:rPr>
          <w:rFonts w:hint="eastAsia" w:ascii="仿宋_GB2312" w:eastAsia="仿宋_GB2312"/>
          <w:snapToGrid w:val="0"/>
          <w:kern w:val="0"/>
          <w:sz w:val="32"/>
          <w:szCs w:val="32"/>
          <w:lang w:eastAsia="zh-CN"/>
        </w:rPr>
        <w:t>其中</w:t>
      </w:r>
      <w:r>
        <w:rPr>
          <w:rFonts w:hint="eastAsia" w:ascii="仿宋_GB2312" w:eastAsia="仿宋_GB2312"/>
          <w:snapToGrid w:val="0"/>
          <w:kern w:val="0"/>
          <w:sz w:val="32"/>
          <w:szCs w:val="32"/>
        </w:rPr>
        <w:t>一般公共预算财政拨款收入</w:t>
      </w:r>
      <w:r>
        <w:rPr>
          <w:rFonts w:hint="eastAsia" w:ascii="仿宋_GB2312" w:eastAsia="仿宋_GB2312"/>
          <w:snapToGrid w:val="0"/>
          <w:kern w:val="0"/>
          <w:sz w:val="32"/>
          <w:szCs w:val="32"/>
          <w:lang w:val="en-US" w:eastAsia="zh-CN"/>
        </w:rPr>
        <w:t>3398.35万元、其他收入584.75万元，</w:t>
      </w:r>
      <w:r>
        <w:rPr>
          <w:rFonts w:hint="eastAsia" w:ascii="仿宋_GB2312" w:eastAsia="仿宋_GB2312"/>
          <w:snapToGrid w:val="0"/>
          <w:kern w:val="0"/>
          <w:sz w:val="32"/>
          <w:szCs w:val="32"/>
        </w:rPr>
        <w:t>比年初预算数</w:t>
      </w:r>
      <w:r>
        <w:rPr>
          <w:rFonts w:hint="eastAsia" w:ascii="仿宋_GB2312" w:eastAsia="仿宋_GB2312"/>
          <w:snapToGrid w:val="0"/>
          <w:kern w:val="0"/>
          <w:sz w:val="32"/>
          <w:szCs w:val="32"/>
          <w:lang w:val="en-US" w:eastAsia="zh-CN"/>
        </w:rPr>
        <w:t>1976.38</w:t>
      </w:r>
      <w:r>
        <w:rPr>
          <w:rFonts w:hint="eastAsia" w:ascii="仿宋_GB2312" w:eastAsia="仿宋_GB2312"/>
          <w:snapToGrid w:val="0"/>
          <w:kern w:val="0"/>
          <w:sz w:val="32"/>
          <w:szCs w:val="32"/>
        </w:rPr>
        <w:t>万元增加</w:t>
      </w:r>
      <w:r>
        <w:rPr>
          <w:rFonts w:hint="eastAsia" w:ascii="仿宋_GB2312" w:eastAsia="仿宋_GB2312"/>
          <w:snapToGrid w:val="0"/>
          <w:kern w:val="0"/>
          <w:sz w:val="32"/>
          <w:szCs w:val="32"/>
          <w:lang w:val="en-US" w:eastAsia="zh-CN"/>
        </w:rPr>
        <w:t>2006.72</w:t>
      </w:r>
      <w:r>
        <w:rPr>
          <w:rFonts w:hint="eastAsia" w:ascii="仿宋_GB2312" w:eastAsia="仿宋_GB2312"/>
          <w:snapToGrid w:val="0"/>
          <w:kern w:val="0"/>
          <w:sz w:val="32"/>
          <w:szCs w:val="32"/>
        </w:rPr>
        <w:t>万元，主要是</w:t>
      </w:r>
      <w:r>
        <w:rPr>
          <w:rFonts w:hint="eastAsia" w:ascii="仿宋_GB2312" w:eastAsia="仿宋_GB2312"/>
          <w:snapToGrid w:val="0"/>
          <w:kern w:val="0"/>
          <w:sz w:val="32"/>
          <w:szCs w:val="32"/>
          <w:lang w:eastAsia="zh-CN"/>
        </w:rPr>
        <w:t>年中追加</w:t>
      </w:r>
      <w:r>
        <w:rPr>
          <w:rFonts w:hint="eastAsia" w:ascii="仿宋_GB2312" w:eastAsia="仿宋_GB2312"/>
          <w:snapToGrid w:val="0"/>
          <w:kern w:val="0"/>
          <w:sz w:val="32"/>
          <w:szCs w:val="32"/>
        </w:rPr>
        <w:t>了</w:t>
      </w:r>
      <w:r>
        <w:rPr>
          <w:rFonts w:hint="eastAsia" w:ascii="仿宋_GB2312" w:eastAsia="仿宋_GB2312"/>
          <w:snapToGrid w:val="0"/>
          <w:kern w:val="0"/>
          <w:sz w:val="32"/>
          <w:szCs w:val="32"/>
          <w:lang w:eastAsia="zh-CN"/>
        </w:rPr>
        <w:t>公共服务信息化</w:t>
      </w:r>
      <w:r>
        <w:rPr>
          <w:rFonts w:hint="eastAsia" w:ascii="仿宋_GB2312" w:eastAsia="仿宋_GB2312"/>
          <w:snapToGrid w:val="0"/>
          <w:kern w:val="0"/>
          <w:sz w:val="32"/>
          <w:szCs w:val="32"/>
        </w:rPr>
        <w:t>项目</w:t>
      </w:r>
      <w:r>
        <w:rPr>
          <w:rFonts w:hint="eastAsia" w:ascii="仿宋_GB2312" w:eastAsia="仿宋_GB2312"/>
          <w:snapToGrid w:val="0"/>
          <w:kern w:val="0"/>
          <w:sz w:val="32"/>
          <w:szCs w:val="32"/>
          <w:lang w:eastAsia="zh-CN"/>
        </w:rPr>
        <w:t>专项支出</w:t>
      </w:r>
      <w:r>
        <w:rPr>
          <w:rFonts w:hint="eastAsia" w:ascii="仿宋_GB2312" w:eastAsia="仿宋_GB2312"/>
          <w:snapToGrid w:val="0"/>
          <w:kern w:val="0"/>
          <w:sz w:val="32"/>
          <w:szCs w:val="32"/>
        </w:rPr>
        <w:t>与人员经费</w:t>
      </w:r>
      <w:r>
        <w:rPr>
          <w:rFonts w:hint="eastAsia" w:ascii="仿宋_GB2312" w:eastAsia="仿宋_GB2312"/>
          <w:snapToGrid w:val="0"/>
          <w:kern w:val="0"/>
          <w:sz w:val="32"/>
          <w:szCs w:val="32"/>
          <w:lang w:val="en-US" w:eastAsia="zh-CN"/>
        </w:rPr>
        <w:t>。</w:t>
      </w:r>
      <w:r>
        <w:rPr>
          <w:rFonts w:hint="eastAsia" w:ascii="仿宋_GB2312" w:eastAsia="仿宋_GB2312"/>
          <w:snapToGrid w:val="0"/>
          <w:kern w:val="0"/>
          <w:sz w:val="32"/>
          <w:szCs w:val="32"/>
        </w:rPr>
        <w:t>20</w:t>
      </w:r>
      <w:r>
        <w:rPr>
          <w:rFonts w:hint="eastAsia" w:ascii="仿宋_GB2312" w:eastAsia="仿宋_GB2312"/>
          <w:snapToGrid w:val="0"/>
          <w:kern w:val="0"/>
          <w:sz w:val="32"/>
          <w:szCs w:val="32"/>
          <w:lang w:val="en-US" w:eastAsia="zh-CN"/>
        </w:rPr>
        <w:t>24</w:t>
      </w:r>
      <w:r>
        <w:rPr>
          <w:rFonts w:hint="eastAsia" w:ascii="仿宋_GB2312" w:eastAsia="仿宋_GB2312"/>
          <w:snapToGrid w:val="0"/>
          <w:kern w:val="0"/>
          <w:sz w:val="32"/>
          <w:szCs w:val="32"/>
        </w:rPr>
        <w:t>年</w:t>
      </w:r>
      <w:r>
        <w:rPr>
          <w:rFonts w:hint="eastAsia" w:ascii="仿宋_GB2312" w:eastAsia="仿宋_GB2312"/>
          <w:snapToGrid w:val="0"/>
          <w:kern w:val="0"/>
          <w:sz w:val="32"/>
          <w:szCs w:val="32"/>
          <w:lang w:eastAsia="zh-CN"/>
        </w:rPr>
        <w:t>支出</w:t>
      </w:r>
      <w:r>
        <w:rPr>
          <w:rFonts w:hint="eastAsia" w:ascii="仿宋_GB2312" w:eastAsia="仿宋_GB2312"/>
          <w:snapToGrid w:val="0"/>
          <w:kern w:val="0"/>
          <w:sz w:val="32"/>
          <w:szCs w:val="32"/>
        </w:rPr>
        <w:t>决算数</w:t>
      </w:r>
      <w:r>
        <w:rPr>
          <w:rFonts w:hint="eastAsia" w:ascii="仿宋_GB2312" w:eastAsia="仿宋_GB2312"/>
          <w:snapToGrid w:val="0"/>
          <w:kern w:val="0"/>
          <w:sz w:val="32"/>
          <w:szCs w:val="32"/>
          <w:lang w:val="en-US" w:eastAsia="zh-CN"/>
        </w:rPr>
        <w:t>3983.10</w:t>
      </w:r>
      <w:r>
        <w:rPr>
          <w:rFonts w:hint="eastAsia" w:ascii="仿宋_GB2312" w:eastAsia="仿宋_GB2312"/>
          <w:snapToGrid w:val="0"/>
          <w:kern w:val="0"/>
          <w:sz w:val="32"/>
          <w:szCs w:val="32"/>
        </w:rPr>
        <w:t>万元，</w:t>
      </w:r>
      <w:r>
        <w:rPr>
          <w:rFonts w:hint="eastAsia" w:ascii="仿宋_GB2312" w:eastAsia="仿宋_GB2312"/>
          <w:snapToGrid w:val="0"/>
          <w:kern w:val="0"/>
          <w:sz w:val="32"/>
          <w:szCs w:val="32"/>
          <w:lang w:eastAsia="zh-CN"/>
        </w:rPr>
        <w:t>其中基本支出</w:t>
      </w:r>
      <w:r>
        <w:rPr>
          <w:rFonts w:hint="eastAsia" w:ascii="仿宋_GB2312" w:eastAsia="仿宋_GB2312"/>
          <w:snapToGrid w:val="0"/>
          <w:kern w:val="0"/>
          <w:sz w:val="32"/>
          <w:szCs w:val="32"/>
          <w:lang w:val="en-US" w:eastAsia="zh-CN"/>
        </w:rPr>
        <w:t>1586.75万元：人员经费952.85万元，日常公用经费633.9万元（含临聘人员工资491.29万元），项目支出2396.35万元。基本支出</w:t>
      </w:r>
      <w:r>
        <w:rPr>
          <w:rFonts w:hint="eastAsia" w:ascii="仿宋_GB2312" w:eastAsia="仿宋_GB2312"/>
          <w:snapToGrid w:val="0"/>
          <w:kern w:val="0"/>
          <w:sz w:val="32"/>
          <w:szCs w:val="32"/>
        </w:rPr>
        <w:t>比年初预算数</w:t>
      </w:r>
      <w:r>
        <w:rPr>
          <w:rFonts w:hint="eastAsia" w:ascii="仿宋_GB2312" w:eastAsia="仿宋_GB2312"/>
          <w:snapToGrid w:val="0"/>
          <w:kern w:val="0"/>
          <w:sz w:val="32"/>
          <w:szCs w:val="32"/>
          <w:lang w:val="en-US" w:eastAsia="zh-CN"/>
        </w:rPr>
        <w:t>1440.18</w:t>
      </w:r>
      <w:r>
        <w:rPr>
          <w:rFonts w:hint="eastAsia" w:ascii="仿宋_GB2312" w:eastAsia="仿宋_GB2312"/>
          <w:snapToGrid w:val="0"/>
          <w:kern w:val="0"/>
          <w:sz w:val="32"/>
          <w:szCs w:val="32"/>
        </w:rPr>
        <w:t>万元增加</w:t>
      </w:r>
      <w:r>
        <w:rPr>
          <w:rFonts w:hint="eastAsia" w:ascii="仿宋_GB2312" w:eastAsia="仿宋_GB2312"/>
          <w:snapToGrid w:val="0"/>
          <w:kern w:val="0"/>
          <w:sz w:val="32"/>
          <w:szCs w:val="32"/>
          <w:lang w:val="en-US" w:eastAsia="zh-CN"/>
        </w:rPr>
        <w:t>146.57</w:t>
      </w:r>
      <w:r>
        <w:rPr>
          <w:rFonts w:hint="eastAsia" w:ascii="仿宋_GB2312" w:eastAsia="仿宋_GB2312"/>
          <w:snapToGrid w:val="0"/>
          <w:kern w:val="0"/>
          <w:sz w:val="32"/>
          <w:szCs w:val="32"/>
        </w:rPr>
        <w:t>万元</w:t>
      </w:r>
      <w:r>
        <w:rPr>
          <w:rFonts w:hint="eastAsia" w:ascii="仿宋_GB2312" w:eastAsia="仿宋_GB2312"/>
          <w:snapToGrid w:val="0"/>
          <w:kern w:val="0"/>
          <w:sz w:val="32"/>
          <w:szCs w:val="32"/>
          <w:lang w:eastAsia="zh-CN"/>
        </w:rPr>
        <w:t>，增加原因主要是增人增资、相应社保和公积金增加以及年末追加发放退休人员基础绩效等；项目支出比年初预算数</w:t>
      </w:r>
      <w:r>
        <w:rPr>
          <w:rFonts w:hint="eastAsia" w:ascii="仿宋_GB2312" w:eastAsia="仿宋_GB2312"/>
          <w:snapToGrid w:val="0"/>
          <w:kern w:val="0"/>
          <w:sz w:val="32"/>
          <w:szCs w:val="32"/>
          <w:lang w:val="en-US" w:eastAsia="zh-CN"/>
        </w:rPr>
        <w:t>392万元增加2004.35万元，主要是因为年中年底追加支付了十几个公共服务信息化项目及省级真抓实干奖励资金及代管户资金等</w:t>
      </w:r>
      <w:r>
        <w:rPr>
          <w:rFonts w:hint="eastAsia" w:ascii="仿宋_GB2312" w:eastAsia="仿宋_GB2312"/>
          <w:snapToGrid w:val="0"/>
          <w:kern w:val="0"/>
          <w:sz w:val="32"/>
          <w:szCs w:val="32"/>
          <w:lang w:eastAsia="zh-CN"/>
        </w:rPr>
        <w:t>。</w:t>
      </w:r>
    </w:p>
    <w:p w14:paraId="6CC468B9">
      <w:pPr>
        <w:pStyle w:val="16"/>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b/>
          <w:bCs w:val="0"/>
          <w:color w:val="auto"/>
          <w:kern w:val="0"/>
          <w:sz w:val="32"/>
          <w:szCs w:val="32"/>
          <w:lang w:val="en-US" w:eastAsia="zh-CN" w:bidi="ar-SA"/>
        </w:rPr>
      </w:pPr>
      <w:r>
        <w:rPr>
          <w:rFonts w:hint="eastAsia" w:ascii="仿宋_GB2312" w:hAnsi="仿宋_GB2312" w:eastAsia="仿宋_GB2312" w:cs="仿宋_GB2312"/>
          <w:b/>
          <w:bCs w:val="0"/>
          <w:color w:val="auto"/>
          <w:kern w:val="0"/>
          <w:sz w:val="32"/>
          <w:szCs w:val="32"/>
          <w:lang w:val="en-US" w:eastAsia="zh-CN" w:bidi="ar-SA"/>
        </w:rPr>
        <w:t>3、“三公经费”支出使用和管理情况</w:t>
      </w:r>
    </w:p>
    <w:p w14:paraId="1D9AB66D">
      <w:pPr>
        <w:numPr>
          <w:ilvl w:val="0"/>
          <w:numId w:val="0"/>
        </w:numPr>
        <w:ind w:firstLine="640" w:firstLineChars="200"/>
        <w:rPr>
          <w:rFonts w:hint="eastAsia" w:ascii="仿宋_GB2312" w:hAnsi="Times New Roman" w:eastAsia="仿宋_GB2312" w:cs="Times New Roman"/>
          <w:snapToGrid w:val="0"/>
          <w:kern w:val="0"/>
          <w:sz w:val="32"/>
          <w:szCs w:val="32"/>
          <w:lang w:val="en-US" w:eastAsia="zh-CN"/>
        </w:rPr>
      </w:pPr>
      <w:r>
        <w:rPr>
          <w:rFonts w:hint="eastAsia" w:ascii="仿宋_GB2312" w:hAnsi="Times New Roman" w:eastAsia="仿宋_GB2312" w:cs="Times New Roman"/>
          <w:snapToGrid w:val="0"/>
          <w:kern w:val="0"/>
          <w:sz w:val="32"/>
          <w:szCs w:val="32"/>
          <w:lang w:val="en-US" w:eastAsia="zh-CN"/>
        </w:rPr>
        <w:t>本部门严格执行中央八项规定，加强“三公经费”管理。一是严格控制公务接待，严格按规定标准、陪同人数接待，</w:t>
      </w:r>
      <w:r>
        <w:rPr>
          <w:rFonts w:hint="eastAsia" w:ascii="仿宋_GB2312" w:eastAsia="仿宋_GB2312" w:cs="Times New Roman"/>
          <w:snapToGrid w:val="0"/>
          <w:kern w:val="0"/>
          <w:sz w:val="32"/>
          <w:szCs w:val="32"/>
          <w:lang w:val="en-US" w:eastAsia="zh-CN"/>
        </w:rPr>
        <w:t>严控</w:t>
      </w:r>
      <w:r>
        <w:rPr>
          <w:rFonts w:hint="eastAsia" w:ascii="仿宋_GB2312" w:hAnsi="Times New Roman" w:eastAsia="仿宋_GB2312" w:cs="Times New Roman"/>
          <w:snapToGrid w:val="0"/>
          <w:kern w:val="0"/>
          <w:sz w:val="32"/>
          <w:szCs w:val="32"/>
          <w:lang w:val="en-US" w:eastAsia="zh-CN"/>
        </w:rPr>
        <w:t>公务接待费支出。二是同时加强公务用车管理，压缩公务用车频率、节约开支等。三是严格控制公务出国，未发生公务出国、出境情况。202</w:t>
      </w:r>
      <w:r>
        <w:rPr>
          <w:rFonts w:hint="eastAsia" w:ascii="仿宋_GB2312" w:eastAsia="仿宋_GB2312" w:cs="Times New Roman"/>
          <w:snapToGrid w:val="0"/>
          <w:kern w:val="0"/>
          <w:sz w:val="32"/>
          <w:szCs w:val="32"/>
          <w:lang w:val="en-US" w:eastAsia="zh-CN"/>
        </w:rPr>
        <w:t>4</w:t>
      </w:r>
      <w:r>
        <w:rPr>
          <w:rFonts w:hint="eastAsia" w:ascii="仿宋_GB2312" w:hAnsi="Times New Roman" w:eastAsia="仿宋_GB2312" w:cs="Times New Roman"/>
          <w:snapToGrid w:val="0"/>
          <w:kern w:val="0"/>
          <w:sz w:val="32"/>
          <w:szCs w:val="32"/>
          <w:lang w:val="en-US" w:eastAsia="zh-CN"/>
        </w:rPr>
        <w:t>年度本部门“三公经费”实际开支2.</w:t>
      </w:r>
      <w:r>
        <w:rPr>
          <w:rFonts w:hint="eastAsia" w:ascii="仿宋_GB2312" w:eastAsia="仿宋_GB2312" w:cs="Times New Roman"/>
          <w:snapToGrid w:val="0"/>
          <w:kern w:val="0"/>
          <w:sz w:val="32"/>
          <w:szCs w:val="32"/>
          <w:lang w:val="en-US" w:eastAsia="zh-CN"/>
        </w:rPr>
        <w:t>8</w:t>
      </w:r>
      <w:r>
        <w:rPr>
          <w:rFonts w:hint="eastAsia" w:ascii="仿宋_GB2312" w:hAnsi="Times New Roman" w:eastAsia="仿宋_GB2312" w:cs="Times New Roman"/>
          <w:snapToGrid w:val="0"/>
          <w:kern w:val="0"/>
          <w:sz w:val="32"/>
          <w:szCs w:val="32"/>
          <w:lang w:val="en-US" w:eastAsia="zh-CN"/>
        </w:rPr>
        <w:t>4万元，全部为公务接待费，较年初预算</w:t>
      </w:r>
      <w:r>
        <w:rPr>
          <w:rFonts w:hint="eastAsia" w:ascii="仿宋_GB2312" w:eastAsia="仿宋_GB2312" w:cs="Times New Roman"/>
          <w:snapToGrid w:val="0"/>
          <w:kern w:val="0"/>
          <w:sz w:val="32"/>
          <w:szCs w:val="32"/>
          <w:lang w:val="en-US" w:eastAsia="zh-CN"/>
        </w:rPr>
        <w:t>4</w:t>
      </w:r>
      <w:r>
        <w:rPr>
          <w:rFonts w:hint="eastAsia" w:ascii="仿宋_GB2312" w:hAnsi="Times New Roman" w:eastAsia="仿宋_GB2312" w:cs="Times New Roman"/>
          <w:snapToGrid w:val="0"/>
          <w:kern w:val="0"/>
          <w:sz w:val="32"/>
          <w:szCs w:val="32"/>
          <w:lang w:val="en-US" w:eastAsia="zh-CN"/>
        </w:rPr>
        <w:t>万元减少</w:t>
      </w:r>
      <w:r>
        <w:rPr>
          <w:rFonts w:hint="eastAsia" w:ascii="仿宋_GB2312" w:eastAsia="仿宋_GB2312" w:cs="Times New Roman"/>
          <w:snapToGrid w:val="0"/>
          <w:kern w:val="0"/>
          <w:sz w:val="32"/>
          <w:szCs w:val="32"/>
          <w:lang w:val="en-US" w:eastAsia="zh-CN"/>
        </w:rPr>
        <w:t>1.16</w:t>
      </w:r>
      <w:r>
        <w:rPr>
          <w:rFonts w:hint="eastAsia" w:ascii="仿宋_GB2312" w:hAnsi="Times New Roman" w:eastAsia="仿宋_GB2312" w:cs="Times New Roman"/>
          <w:snapToGrid w:val="0"/>
          <w:kern w:val="0"/>
          <w:sz w:val="32"/>
          <w:szCs w:val="32"/>
          <w:lang w:val="en-US" w:eastAsia="zh-CN"/>
        </w:rPr>
        <w:t>万元，减少</w:t>
      </w:r>
      <w:r>
        <w:rPr>
          <w:rFonts w:hint="eastAsia" w:ascii="仿宋_GB2312" w:eastAsia="仿宋_GB2312" w:cs="Times New Roman"/>
          <w:snapToGrid w:val="0"/>
          <w:kern w:val="0"/>
          <w:sz w:val="32"/>
          <w:szCs w:val="32"/>
          <w:lang w:val="en-US" w:eastAsia="zh-CN"/>
        </w:rPr>
        <w:t>29</w:t>
      </w:r>
      <w:r>
        <w:rPr>
          <w:rFonts w:hint="default" w:ascii="仿宋_GB2312" w:hAnsi="Times New Roman" w:eastAsia="仿宋_GB2312" w:cs="Times New Roman"/>
          <w:snapToGrid w:val="0"/>
          <w:kern w:val="0"/>
          <w:sz w:val="32"/>
          <w:szCs w:val="32"/>
          <w:lang w:val="en-US" w:eastAsia="zh-CN"/>
        </w:rPr>
        <w:t>%</w:t>
      </w:r>
      <w:r>
        <w:rPr>
          <w:rFonts w:hint="eastAsia" w:ascii="仿宋_GB2312" w:hAnsi="Times New Roman" w:eastAsia="仿宋_GB2312" w:cs="Times New Roman"/>
          <w:snapToGrid w:val="0"/>
          <w:kern w:val="0"/>
          <w:sz w:val="32"/>
          <w:szCs w:val="32"/>
          <w:lang w:val="en-US" w:eastAsia="zh-CN"/>
        </w:rPr>
        <w:t>，“三公经费”得到较有效控制。</w:t>
      </w:r>
    </w:p>
    <w:p w14:paraId="4D701594">
      <w:pPr>
        <w:pStyle w:val="4"/>
        <w:rPr>
          <w:rFonts w:hint="eastAsia" w:ascii="仿宋_GB2312" w:hAnsi="仿宋_GB2312" w:eastAsia="仿宋_GB2312" w:cs="仿宋_GB2312"/>
          <w:bCs/>
          <w:kern w:val="0"/>
          <w:sz w:val="32"/>
          <w:szCs w:val="32"/>
          <w:lang w:val="en-US" w:eastAsia="zh-CN" w:bidi="ar-SA"/>
        </w:rPr>
      </w:pPr>
    </w:p>
    <w:p w14:paraId="1CE85298">
      <w:pPr>
        <w:pStyle w:val="17"/>
        <w:spacing w:line="570" w:lineRule="exact"/>
        <w:ind w:firstLine="640"/>
        <w:rPr>
          <w:rFonts w:ascii="Times New Roman" w:hAnsi="Times New Roman" w:eastAsia="黑体"/>
          <w:sz w:val="32"/>
          <w:szCs w:val="32"/>
        </w:rPr>
      </w:pPr>
      <w:r>
        <w:rPr>
          <w:rFonts w:ascii="Times New Roman" w:hAnsi="Times New Roman" w:eastAsia="黑体"/>
          <w:sz w:val="32"/>
          <w:szCs w:val="32"/>
        </w:rPr>
        <w:t>二、一般公共预算支出情况</w:t>
      </w:r>
    </w:p>
    <w:p w14:paraId="474EBA4F">
      <w:pPr>
        <w:pStyle w:val="17"/>
        <w:spacing w:line="570" w:lineRule="exact"/>
        <w:ind w:firstLine="640"/>
        <w:rPr>
          <w:rFonts w:ascii="Times New Roman" w:hAnsi="Times New Roman" w:eastAsia="仿宋_GB2312"/>
          <w:b/>
          <w:bCs/>
          <w:sz w:val="32"/>
          <w:szCs w:val="32"/>
        </w:rPr>
      </w:pPr>
      <w:r>
        <w:rPr>
          <w:rFonts w:ascii="Times New Roman" w:hAnsi="Times New Roman" w:eastAsia="仿宋_GB2312"/>
          <w:b/>
          <w:bCs/>
          <w:sz w:val="32"/>
          <w:szCs w:val="32"/>
        </w:rPr>
        <w:t>（一）基本支出情况</w:t>
      </w:r>
    </w:p>
    <w:p w14:paraId="0747D817">
      <w:pPr>
        <w:pStyle w:val="17"/>
        <w:spacing w:line="570" w:lineRule="exact"/>
        <w:ind w:firstLine="640"/>
        <w:rPr>
          <w:rFonts w:ascii="Times New Roman" w:hAnsi="Times New Roman" w:eastAsia="仿宋_GB2312"/>
          <w:sz w:val="32"/>
          <w:szCs w:val="32"/>
        </w:rPr>
      </w:pPr>
      <w:r>
        <w:rPr>
          <w:rFonts w:hint="eastAsia" w:ascii="仿宋_GB2312" w:hAnsi="Times New Roman" w:eastAsia="仿宋_GB2312" w:cs="Times New Roman"/>
          <w:kern w:val="2"/>
          <w:sz w:val="32"/>
          <w:szCs w:val="32"/>
          <w:lang w:val="en-US" w:eastAsia="zh-CN" w:bidi="ar-SA"/>
        </w:rPr>
        <w:t>本部门2024年一般公共预算支出3983.10万元，其中</w:t>
      </w:r>
      <w:r>
        <w:rPr>
          <w:rFonts w:ascii="仿宋_GB2312" w:hAnsi="宋体" w:eastAsia="仿宋_GB2312" w:cs="仿宋_GB2312"/>
          <w:i w:val="0"/>
          <w:iCs w:val="0"/>
          <w:caps w:val="0"/>
          <w:color w:val="333333"/>
          <w:spacing w:val="0"/>
          <w:sz w:val="28"/>
          <w:szCs w:val="28"/>
          <w:shd w:val="clear" w:color="auto" w:fill="FFFFFF"/>
        </w:rPr>
        <w:t>基</w:t>
      </w:r>
      <w:r>
        <w:rPr>
          <w:rFonts w:hint="eastAsia" w:ascii="仿宋_GB2312" w:hAnsi="Times New Roman" w:eastAsia="仿宋_GB2312" w:cs="Times New Roman"/>
          <w:kern w:val="2"/>
          <w:sz w:val="32"/>
          <w:szCs w:val="32"/>
          <w:lang w:val="en-US" w:eastAsia="zh-CN" w:bidi="ar-SA"/>
        </w:rPr>
        <w:t>本支出1586.75万元，包括人员经费952.85万元：工资福利支出952.85万元；日常公用经费633.9万元（含临聘人员工资491.29万元）：商品和服务支出142.61万元。</w:t>
      </w:r>
    </w:p>
    <w:p w14:paraId="7F6275A5">
      <w:pPr>
        <w:pStyle w:val="17"/>
        <w:numPr>
          <w:ilvl w:val="0"/>
          <w:numId w:val="4"/>
        </w:numPr>
        <w:spacing w:line="570" w:lineRule="exact"/>
        <w:ind w:firstLine="640"/>
        <w:rPr>
          <w:rFonts w:ascii="Times New Roman" w:hAnsi="Times New Roman" w:eastAsia="仿宋_GB2312"/>
          <w:b/>
          <w:bCs/>
          <w:sz w:val="32"/>
          <w:szCs w:val="32"/>
        </w:rPr>
      </w:pPr>
      <w:r>
        <w:rPr>
          <w:rFonts w:ascii="Times New Roman" w:hAnsi="Times New Roman" w:eastAsia="仿宋_GB2312"/>
          <w:b/>
          <w:bCs/>
          <w:sz w:val="32"/>
          <w:szCs w:val="32"/>
        </w:rPr>
        <w:t>项目支出情况</w:t>
      </w:r>
    </w:p>
    <w:p w14:paraId="0F5006D3">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b/>
          <w:bCs/>
          <w:sz w:val="32"/>
          <w:szCs w:val="32"/>
        </w:rPr>
      </w:pPr>
      <w:r>
        <w:rPr>
          <w:rFonts w:hint="eastAsia" w:ascii="仿宋_GB2312" w:eastAsia="仿宋_GB2312"/>
          <w:b/>
          <w:bCs/>
          <w:sz w:val="32"/>
          <w:szCs w:val="32"/>
        </w:rPr>
        <w:t>（1）专项资金安排落实、总投入等情况分析</w:t>
      </w:r>
    </w:p>
    <w:p w14:paraId="32561B5A">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年年初部门预算</w:t>
      </w:r>
      <w:r>
        <w:rPr>
          <w:rFonts w:hint="eastAsia" w:ascii="仿宋_GB2312" w:eastAsia="仿宋_GB2312"/>
          <w:sz w:val="32"/>
          <w:szCs w:val="32"/>
          <w:lang w:eastAsia="zh-CN"/>
        </w:rPr>
        <w:t>总</w:t>
      </w:r>
      <w:r>
        <w:rPr>
          <w:rFonts w:hint="eastAsia" w:ascii="仿宋_GB2312" w:eastAsia="仿宋_GB2312"/>
          <w:sz w:val="32"/>
          <w:szCs w:val="32"/>
        </w:rPr>
        <w:t>数</w:t>
      </w:r>
      <w:r>
        <w:rPr>
          <w:rFonts w:hint="eastAsia" w:ascii="仿宋_GB2312" w:eastAsia="仿宋_GB2312"/>
          <w:sz w:val="32"/>
          <w:szCs w:val="32"/>
          <w:lang w:val="en-US" w:eastAsia="zh-CN"/>
        </w:rPr>
        <w:t>2112.36</w:t>
      </w:r>
      <w:r>
        <w:rPr>
          <w:rFonts w:hint="eastAsia" w:ascii="仿宋_GB2312" w:eastAsia="仿宋_GB2312"/>
          <w:sz w:val="32"/>
          <w:szCs w:val="32"/>
        </w:rPr>
        <w:t>万元</w:t>
      </w:r>
      <w:r>
        <w:rPr>
          <w:rFonts w:hint="eastAsia" w:ascii="仿宋_GB2312" w:eastAsia="仿宋_GB2312"/>
          <w:sz w:val="32"/>
          <w:szCs w:val="32"/>
          <w:lang w:eastAsia="zh-CN"/>
        </w:rPr>
        <w:t>，其</w:t>
      </w:r>
      <w:r>
        <w:rPr>
          <w:rFonts w:hint="eastAsia" w:ascii="仿宋_GB2312" w:eastAsia="仿宋_GB2312"/>
          <w:sz w:val="32"/>
          <w:szCs w:val="32"/>
        </w:rPr>
        <w:t>中项目</w:t>
      </w:r>
      <w:r>
        <w:rPr>
          <w:rFonts w:hint="eastAsia" w:ascii="仿宋_GB2312" w:eastAsia="仿宋_GB2312"/>
          <w:sz w:val="32"/>
          <w:szCs w:val="32"/>
          <w:lang w:eastAsia="zh-CN"/>
        </w:rPr>
        <w:t>预算</w:t>
      </w:r>
      <w:r>
        <w:rPr>
          <w:rFonts w:hint="eastAsia" w:ascii="仿宋_GB2312" w:eastAsia="仿宋_GB2312"/>
          <w:sz w:val="32"/>
          <w:szCs w:val="32"/>
        </w:rPr>
        <w:t>为</w:t>
      </w:r>
      <w:r>
        <w:rPr>
          <w:rFonts w:hint="eastAsia" w:ascii="仿宋_GB2312" w:eastAsia="仿宋_GB2312"/>
          <w:sz w:val="32"/>
          <w:szCs w:val="32"/>
          <w:lang w:val="en-US" w:eastAsia="zh-CN"/>
        </w:rPr>
        <w:t>392</w:t>
      </w:r>
      <w:r>
        <w:rPr>
          <w:rFonts w:hint="eastAsia" w:ascii="仿宋_GB2312" w:eastAsia="仿宋_GB2312"/>
          <w:sz w:val="32"/>
          <w:szCs w:val="32"/>
        </w:rPr>
        <w:t>万元，</w:t>
      </w:r>
      <w:r>
        <w:rPr>
          <w:rFonts w:hint="eastAsia" w:ascii="仿宋_GB2312" w:eastAsia="仿宋_GB2312"/>
          <w:sz w:val="32"/>
          <w:szCs w:val="32"/>
          <w:lang w:eastAsia="zh-CN"/>
        </w:rPr>
        <w:t>实际总的</w:t>
      </w:r>
      <w:r>
        <w:rPr>
          <w:rFonts w:hint="eastAsia" w:ascii="仿宋_GB2312" w:eastAsia="仿宋_GB2312"/>
          <w:sz w:val="32"/>
          <w:szCs w:val="32"/>
        </w:rPr>
        <w:t>项目支出为</w:t>
      </w:r>
      <w:r>
        <w:rPr>
          <w:rFonts w:hint="eastAsia" w:ascii="仿宋_GB2312" w:eastAsia="仿宋_GB2312"/>
          <w:sz w:val="32"/>
          <w:szCs w:val="32"/>
          <w:lang w:val="en-US" w:eastAsia="zh-CN"/>
        </w:rPr>
        <w:t>2396.35</w:t>
      </w:r>
      <w:r>
        <w:rPr>
          <w:rFonts w:hint="eastAsia" w:ascii="仿宋_GB2312" w:eastAsia="仿宋_GB2312"/>
          <w:sz w:val="32"/>
          <w:szCs w:val="32"/>
        </w:rPr>
        <w:t>万元，</w:t>
      </w:r>
      <w:r>
        <w:rPr>
          <w:rFonts w:hint="eastAsia" w:ascii="仿宋_GB2312" w:eastAsia="仿宋_GB2312"/>
          <w:sz w:val="32"/>
          <w:szCs w:val="32"/>
          <w:lang w:eastAsia="zh-CN"/>
        </w:rPr>
        <w:t>项目支出决算数比预算</w:t>
      </w:r>
      <w:r>
        <w:rPr>
          <w:rFonts w:hint="eastAsia" w:ascii="仿宋_GB2312" w:hAnsi="Times New Roman" w:eastAsia="仿宋_GB2312" w:cs="Times New Roman"/>
          <w:sz w:val="32"/>
          <w:szCs w:val="32"/>
          <w:lang w:val="en-US" w:eastAsia="zh-CN"/>
        </w:rPr>
        <w:t>数多</w:t>
      </w:r>
      <w:r>
        <w:rPr>
          <w:rFonts w:hint="eastAsia" w:ascii="仿宋_GB2312" w:eastAsia="仿宋_GB2312" w:cs="Times New Roman"/>
          <w:sz w:val="32"/>
          <w:szCs w:val="32"/>
          <w:lang w:val="en-US" w:eastAsia="zh-CN"/>
        </w:rPr>
        <w:t>2004.35</w:t>
      </w:r>
      <w:r>
        <w:rPr>
          <w:rFonts w:hint="eastAsia" w:ascii="仿宋_GB2312" w:hAnsi="Times New Roman" w:eastAsia="仿宋_GB2312" w:cs="Times New Roman"/>
          <w:sz w:val="32"/>
          <w:szCs w:val="32"/>
          <w:lang w:val="en-US" w:eastAsia="zh-CN"/>
        </w:rPr>
        <w:t>万元，主要</w:t>
      </w:r>
      <w:r>
        <w:rPr>
          <w:rFonts w:hint="eastAsia" w:ascii="仿宋_GB2312" w:eastAsia="仿宋_GB2312"/>
          <w:sz w:val="32"/>
          <w:szCs w:val="32"/>
        </w:rPr>
        <w:t>原因</w:t>
      </w:r>
      <w:r>
        <w:rPr>
          <w:rFonts w:hint="eastAsia" w:ascii="仿宋_GB2312" w:eastAsia="仿宋_GB2312"/>
          <w:sz w:val="32"/>
          <w:szCs w:val="32"/>
          <w:lang w:eastAsia="zh-CN"/>
        </w:rPr>
        <w:t>年初纳入预算的只有政务中心政务服务专项经费</w:t>
      </w:r>
      <w:r>
        <w:rPr>
          <w:rFonts w:hint="eastAsia" w:ascii="仿宋_GB2312" w:eastAsia="仿宋_GB2312"/>
          <w:sz w:val="32"/>
          <w:szCs w:val="32"/>
          <w:lang w:val="en-US" w:eastAsia="zh-CN"/>
        </w:rPr>
        <w:t>392万元，实际2024年</w:t>
      </w:r>
      <w:r>
        <w:rPr>
          <w:rFonts w:hint="eastAsia" w:ascii="仿宋_GB2312" w:eastAsia="仿宋_GB2312"/>
          <w:sz w:val="32"/>
          <w:szCs w:val="32"/>
          <w:lang w:eastAsia="zh-CN"/>
        </w:rPr>
        <w:t>财政除拨付了</w:t>
      </w:r>
      <w:r>
        <w:rPr>
          <w:rFonts w:hint="eastAsia" w:ascii="仿宋_GB2312" w:eastAsia="仿宋_GB2312"/>
          <w:sz w:val="32"/>
          <w:szCs w:val="32"/>
          <w:lang w:val="en-US" w:eastAsia="zh-CN"/>
        </w:rPr>
        <w:t>392万元政务中心</w:t>
      </w:r>
      <w:r>
        <w:rPr>
          <w:rFonts w:hint="eastAsia" w:ascii="仿宋_GB2312" w:eastAsia="仿宋_GB2312"/>
          <w:sz w:val="32"/>
          <w:szCs w:val="32"/>
          <w:lang w:eastAsia="zh-CN"/>
        </w:rPr>
        <w:t>政务服务专项经费</w:t>
      </w:r>
      <w:r>
        <w:rPr>
          <w:rFonts w:hint="eastAsia" w:ascii="仿宋_GB2312" w:eastAsia="仿宋_GB2312"/>
          <w:sz w:val="32"/>
          <w:szCs w:val="32"/>
          <w:lang w:val="en-US" w:eastAsia="zh-CN"/>
        </w:rPr>
        <w:t>外，</w:t>
      </w:r>
      <w:r>
        <w:rPr>
          <w:rFonts w:hint="eastAsia" w:ascii="仿宋_GB2312" w:eastAsia="仿宋_GB2312"/>
          <w:sz w:val="32"/>
          <w:szCs w:val="32"/>
          <w:lang w:eastAsia="zh-CN"/>
        </w:rPr>
        <w:t>年中追加</w:t>
      </w:r>
      <w:r>
        <w:rPr>
          <w:rFonts w:hint="eastAsia" w:ascii="仿宋_GB2312" w:eastAsia="仿宋_GB2312"/>
          <w:sz w:val="32"/>
          <w:szCs w:val="32"/>
        </w:rPr>
        <w:t>了</w:t>
      </w:r>
      <w:r>
        <w:rPr>
          <w:rFonts w:hint="eastAsia" w:ascii="仿宋_GB2312" w:eastAsia="仿宋_GB2312"/>
          <w:sz w:val="32"/>
          <w:szCs w:val="32"/>
          <w:lang w:eastAsia="zh-CN"/>
        </w:rPr>
        <w:t>公共服务</w:t>
      </w:r>
      <w:r>
        <w:rPr>
          <w:rFonts w:hint="eastAsia" w:ascii="仿宋_GB2312" w:eastAsia="仿宋_GB2312"/>
          <w:sz w:val="32"/>
          <w:szCs w:val="32"/>
        </w:rPr>
        <w:t>信息化项目专项支出</w:t>
      </w:r>
      <w:r>
        <w:rPr>
          <w:rFonts w:hint="eastAsia" w:ascii="仿宋_GB2312" w:eastAsia="仿宋_GB2312"/>
          <w:sz w:val="32"/>
          <w:szCs w:val="32"/>
          <w:lang w:eastAsia="zh-CN"/>
        </w:rPr>
        <w:t>及省级真抓实干奖励资金及代管户资金等</w:t>
      </w:r>
      <w:r>
        <w:rPr>
          <w:rFonts w:hint="eastAsia" w:ascii="仿宋_GB2312" w:eastAsia="仿宋_GB2312"/>
          <w:sz w:val="32"/>
          <w:szCs w:val="32"/>
        </w:rPr>
        <w:t>。</w:t>
      </w:r>
    </w:p>
    <w:p w14:paraId="2251530D">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b/>
          <w:bCs/>
          <w:sz w:val="32"/>
          <w:szCs w:val="32"/>
        </w:rPr>
      </w:pPr>
      <w:r>
        <w:rPr>
          <w:rFonts w:hint="eastAsia" w:ascii="仿宋_GB2312" w:eastAsia="仿宋_GB2312"/>
          <w:b/>
          <w:bCs/>
          <w:sz w:val="32"/>
          <w:szCs w:val="32"/>
        </w:rPr>
        <w:t>（2）专项资金实际使用情况分析</w:t>
      </w:r>
    </w:p>
    <w:p w14:paraId="73432A76">
      <w:pPr>
        <w:keepNext w:val="0"/>
        <w:keepLines w:val="0"/>
        <w:pageBreakBefore w:val="0"/>
        <w:kinsoku/>
        <w:wordWrap/>
        <w:overflowPunct/>
        <w:topLinePunct w:val="0"/>
        <w:bidi w:val="0"/>
        <w:spacing w:line="560" w:lineRule="exact"/>
        <w:ind w:firstLine="640" w:firstLineChars="200"/>
        <w:textAlignment w:val="auto"/>
        <w:rPr>
          <w:rFonts w:hint="eastAsia" w:ascii="仿宋_GB2312" w:hAnsi="Times New Roman" w:eastAsia="仿宋_GB2312" w:cs="Times New Roman"/>
          <w:sz w:val="32"/>
          <w:szCs w:val="32"/>
          <w:lang w:eastAsia="zh-CN"/>
        </w:rPr>
      </w:pPr>
      <w:r>
        <w:rPr>
          <w:rFonts w:hint="eastAsia" w:ascii="仿宋_GB2312" w:eastAsia="仿宋_GB2312"/>
          <w:sz w:val="32"/>
          <w:szCs w:val="32"/>
          <w:lang w:val="en-US" w:eastAsia="zh-CN"/>
        </w:rPr>
        <w:t>2024年</w:t>
      </w:r>
      <w:r>
        <w:rPr>
          <w:rFonts w:hint="eastAsia" w:ascii="仿宋_GB2312" w:eastAsia="仿宋_GB2312"/>
          <w:sz w:val="32"/>
          <w:szCs w:val="32"/>
        </w:rPr>
        <w:t>项目支出</w:t>
      </w:r>
      <w:r>
        <w:rPr>
          <w:rFonts w:hint="eastAsia" w:ascii="仿宋_GB2312" w:eastAsia="仿宋_GB2312"/>
          <w:sz w:val="32"/>
          <w:szCs w:val="32"/>
          <w:lang w:val="en-US" w:eastAsia="zh-CN"/>
        </w:rPr>
        <w:t>2396.35</w:t>
      </w:r>
      <w:r>
        <w:rPr>
          <w:rFonts w:hint="eastAsia" w:ascii="仿宋_GB2312" w:eastAsia="仿宋_GB2312"/>
          <w:sz w:val="32"/>
          <w:szCs w:val="32"/>
        </w:rPr>
        <w:t>万元，</w:t>
      </w:r>
      <w:r>
        <w:rPr>
          <w:rFonts w:hint="eastAsia" w:ascii="仿宋_GB2312" w:eastAsia="仿宋_GB2312"/>
          <w:sz w:val="32"/>
          <w:szCs w:val="32"/>
          <w:lang w:eastAsia="zh-CN"/>
        </w:rPr>
        <w:t>主要包括两块大的专项支出，一是政务中心及新市民中心运转经费</w:t>
      </w:r>
      <w:r>
        <w:rPr>
          <w:rFonts w:hint="eastAsia" w:ascii="仿宋_GB2312" w:eastAsia="仿宋_GB2312"/>
          <w:sz w:val="32"/>
          <w:szCs w:val="32"/>
          <w:lang w:val="en-US" w:eastAsia="zh-CN"/>
        </w:rPr>
        <w:t>392万元</w:t>
      </w:r>
      <w:r>
        <w:rPr>
          <w:rFonts w:hint="eastAsia" w:ascii="仿宋_GB2312" w:eastAsia="仿宋_GB2312"/>
          <w:sz w:val="32"/>
          <w:szCs w:val="32"/>
          <w:lang w:eastAsia="zh-CN"/>
        </w:rPr>
        <w:t>，</w:t>
      </w:r>
      <w:r>
        <w:rPr>
          <w:rFonts w:hint="eastAsia" w:ascii="仿宋_GB2312" w:eastAsia="仿宋_GB2312"/>
          <w:sz w:val="32"/>
          <w:szCs w:val="32"/>
        </w:rPr>
        <w:t>主要用于市民中心的运转</w:t>
      </w:r>
      <w:r>
        <w:rPr>
          <w:rFonts w:hint="eastAsia" w:ascii="仿宋_GB2312" w:eastAsia="仿宋_GB2312"/>
          <w:sz w:val="32"/>
          <w:szCs w:val="32"/>
          <w:lang w:eastAsia="zh-CN"/>
        </w:rPr>
        <w:t>，包括</w:t>
      </w:r>
      <w:r>
        <w:rPr>
          <w:rFonts w:hint="eastAsia" w:ascii="仿宋_GB2312" w:eastAsia="仿宋_GB2312"/>
          <w:sz w:val="32"/>
          <w:szCs w:val="32"/>
        </w:rPr>
        <w:t>水电</w:t>
      </w:r>
      <w:r>
        <w:rPr>
          <w:rFonts w:hint="eastAsia" w:ascii="仿宋_GB2312" w:eastAsia="仿宋_GB2312"/>
          <w:sz w:val="32"/>
          <w:szCs w:val="32"/>
          <w:lang w:eastAsia="zh-CN"/>
        </w:rPr>
        <w:t>费</w:t>
      </w:r>
      <w:r>
        <w:rPr>
          <w:rFonts w:hint="eastAsia" w:ascii="仿宋_GB2312" w:eastAsia="仿宋_GB2312"/>
          <w:sz w:val="32"/>
          <w:szCs w:val="32"/>
        </w:rPr>
        <w:t>、物业</w:t>
      </w:r>
      <w:r>
        <w:rPr>
          <w:rFonts w:hint="eastAsia" w:ascii="仿宋_GB2312" w:eastAsia="仿宋_GB2312"/>
          <w:sz w:val="32"/>
          <w:szCs w:val="32"/>
          <w:lang w:eastAsia="zh-CN"/>
        </w:rPr>
        <w:t>管理</w:t>
      </w:r>
      <w:r>
        <w:rPr>
          <w:rFonts w:hint="eastAsia" w:ascii="仿宋_GB2312" w:eastAsia="仿宋_GB2312"/>
          <w:sz w:val="32"/>
          <w:szCs w:val="32"/>
        </w:rPr>
        <w:t>费</w:t>
      </w:r>
      <w:r>
        <w:rPr>
          <w:rFonts w:hint="eastAsia" w:ascii="仿宋_GB2312" w:eastAsia="仿宋_GB2312"/>
          <w:sz w:val="32"/>
          <w:szCs w:val="32"/>
          <w:lang w:eastAsia="zh-CN"/>
        </w:rPr>
        <w:t>、办公费、印刷费、邮电费、维修（护）费、差旅费、其他商品和服务支出</w:t>
      </w:r>
      <w:r>
        <w:rPr>
          <w:rFonts w:hint="eastAsia" w:ascii="仿宋_GB2312" w:eastAsia="仿宋_GB2312"/>
          <w:sz w:val="32"/>
          <w:szCs w:val="32"/>
        </w:rPr>
        <w:t>等；</w:t>
      </w:r>
      <w:r>
        <w:rPr>
          <w:rFonts w:hint="eastAsia" w:ascii="仿宋_GB2312" w:eastAsia="仿宋_GB2312"/>
          <w:sz w:val="32"/>
          <w:szCs w:val="32"/>
          <w:lang w:eastAsia="zh-CN"/>
        </w:rPr>
        <w:t>二是公共服务</w:t>
      </w:r>
      <w:r>
        <w:rPr>
          <w:rFonts w:hint="eastAsia" w:ascii="仿宋_GB2312" w:eastAsia="仿宋_GB2312"/>
          <w:sz w:val="32"/>
          <w:szCs w:val="32"/>
        </w:rPr>
        <w:t>信息化项目专项</w:t>
      </w:r>
      <w:r>
        <w:rPr>
          <w:rFonts w:hint="eastAsia" w:ascii="仿宋_GB2312" w:eastAsia="仿宋_GB2312"/>
          <w:sz w:val="32"/>
          <w:szCs w:val="32"/>
          <w:lang w:eastAsia="zh-CN"/>
        </w:rPr>
        <w:t>等</w:t>
      </w:r>
      <w:r>
        <w:rPr>
          <w:rFonts w:hint="eastAsia" w:ascii="仿宋_GB2312" w:eastAsia="仿宋_GB2312"/>
          <w:sz w:val="32"/>
          <w:szCs w:val="32"/>
          <w:lang w:val="en-US" w:eastAsia="zh-CN"/>
        </w:rPr>
        <w:t>2004.35万元，2024年付款项目主要有：</w:t>
      </w:r>
      <w:r>
        <w:rPr>
          <w:rFonts w:hint="eastAsia" w:ascii="仿宋_GB2312" w:hAnsi="Times New Roman" w:eastAsia="仿宋_GB2312" w:cs="Times New Roman"/>
          <w:sz w:val="32"/>
          <w:szCs w:val="32"/>
          <w:lang w:val="en-US" w:eastAsia="zh-CN"/>
        </w:rPr>
        <w:t>永州市公共安全视频监控建设联网应用项目（雪亮工程）513万元、永州市市域社会综合治理信息化平台项目517.6万元、永州市市域社会治理信息化平台项目第三方检测（认证）项目款7.2万元、永州市市域社会治理信息化平台监理项目款15.2万元、永州市基层公共服务一门式“五系统”第一笔项目款30万元、永州市本级电子政务外网线路租赁服务项目尾款（电信）152.74万元（移动）116.99万元（联通）88.41万元、消防救援支队指挥中心升级改造第一笔项目款112.42万元、永州市电子政务网络中心机房迁移及外网平台运维外包服务项目尾款40万元、永州市云计算中心机房租赁项目尾款50万元、永州市本级电子政务外网平台网络设备采购项目尾款130万元、永州市政府网站群Ipv6硬改升级项目第一笔款25.83万元、“湘易办”永州旗舰店电子证照项目尾款27.20万元、永州市综合呼叫平台项目尾款9.64万元、2021年12月至2023年1月永州市云计算中心电费50.66万元、“互联网+政务服务”短信平台建设项目（2022年）17.73万元、数字永州建设培训辅导项目-第一笔项目款19.6万元、爱加密移动应用安全加固服务项目款0.4万元、2023年社会信用体系建设真抓实干督查激励资金55万元、新市民服务中心办公设备购置质保金尾款9.99万元及代管户支出14.74万元</w:t>
      </w:r>
      <w:r>
        <w:rPr>
          <w:rFonts w:hint="eastAsia" w:ascii="仿宋_GB2312" w:hAnsi="Times New Roman" w:eastAsia="仿宋_GB2312" w:cs="Times New Roman"/>
          <w:sz w:val="32"/>
          <w:szCs w:val="32"/>
          <w:lang w:eastAsia="zh-CN"/>
        </w:rPr>
        <w:t>等二十几个信息化子项目。</w:t>
      </w:r>
    </w:p>
    <w:p w14:paraId="45A518B4">
      <w:pPr>
        <w:keepNext w:val="0"/>
        <w:keepLines w:val="0"/>
        <w:pageBreakBefore w:val="0"/>
        <w:kinsoku/>
        <w:wordWrap/>
        <w:overflowPunct/>
        <w:topLinePunct w:val="0"/>
        <w:bidi w:val="0"/>
        <w:spacing w:line="560" w:lineRule="exact"/>
        <w:ind w:firstLine="640" w:firstLineChars="200"/>
        <w:textAlignment w:val="auto"/>
        <w:rPr>
          <w:rFonts w:hint="eastAsia" w:ascii="仿宋_GB2312" w:eastAsia="仿宋_GB2312"/>
          <w:b/>
          <w:bCs/>
          <w:sz w:val="32"/>
          <w:szCs w:val="32"/>
        </w:rPr>
      </w:pPr>
      <w:r>
        <w:rPr>
          <w:rFonts w:hint="eastAsia" w:ascii="仿宋_GB2312" w:eastAsia="仿宋_GB2312"/>
          <w:b/>
          <w:bCs/>
          <w:sz w:val="32"/>
          <w:szCs w:val="32"/>
        </w:rPr>
        <w:t>（3）专项资金</w:t>
      </w:r>
      <w:r>
        <w:rPr>
          <w:rFonts w:hint="eastAsia" w:ascii="仿宋_GB2312" w:eastAsia="仿宋_GB2312"/>
          <w:b/>
          <w:bCs/>
          <w:sz w:val="32"/>
          <w:szCs w:val="32"/>
          <w:lang w:eastAsia="zh-CN"/>
        </w:rPr>
        <w:t>使用</w:t>
      </w:r>
      <w:r>
        <w:rPr>
          <w:rFonts w:hint="eastAsia" w:ascii="仿宋_GB2312" w:eastAsia="仿宋_GB2312"/>
          <w:b/>
          <w:bCs/>
          <w:sz w:val="32"/>
          <w:szCs w:val="32"/>
        </w:rPr>
        <w:t>管理情况分析</w:t>
      </w:r>
    </w:p>
    <w:p w14:paraId="409C605B">
      <w:pPr>
        <w:pStyle w:val="17"/>
        <w:numPr>
          <w:ilvl w:val="0"/>
          <w:numId w:val="0"/>
        </w:numPr>
        <w:spacing w:line="570" w:lineRule="exact"/>
        <w:ind w:firstLine="640" w:firstLineChars="200"/>
        <w:rPr>
          <w:rFonts w:ascii="Times New Roman" w:hAnsi="Times New Roman"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在局党组的坚强领导下，抓实“五个聚焦”（即聚焦“一件事一次办”，促进审批提速增效；聚焦发展难题化解，持续优化营商环境；聚焦“一门式全覆盖”，做实基层公共服务；聚焦信用联合奖惩，全面加快“创信”步伐；聚焦群众诉求处置，推进平台整合政务联动）</w:t>
      </w:r>
      <w:r>
        <w:rPr>
          <w:rFonts w:hint="eastAsia" w:ascii="仿宋_GB2312" w:eastAsia="仿宋_GB2312"/>
          <w:sz w:val="32"/>
          <w:szCs w:val="32"/>
          <w:lang w:eastAsia="zh-CN"/>
        </w:rPr>
        <w:t>，</w:t>
      </w:r>
      <w:r>
        <w:rPr>
          <w:rFonts w:hint="eastAsia" w:ascii="仿宋_GB2312" w:eastAsia="仿宋_GB2312"/>
          <w:sz w:val="32"/>
          <w:szCs w:val="32"/>
        </w:rPr>
        <w:t>严格执行财经纪律，确保工作顺利开展。</w:t>
      </w:r>
      <w:r>
        <w:rPr>
          <w:rFonts w:hint="eastAsia" w:ascii="仿宋_GB2312" w:hAnsi="Times New Roman" w:eastAsia="仿宋_GB2312" w:cs="Times New Roman"/>
          <w:sz w:val="32"/>
          <w:szCs w:val="32"/>
        </w:rPr>
        <w:t>对专项资金建立台账制</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实行专款专用、专项</w:t>
      </w:r>
      <w:r>
        <w:rPr>
          <w:rFonts w:hint="eastAsia" w:ascii="仿宋_GB2312" w:eastAsia="仿宋_GB2312"/>
          <w:sz w:val="32"/>
          <w:szCs w:val="32"/>
        </w:rPr>
        <w:t>核算，费用支出严格“三重一大”进研究后</w:t>
      </w:r>
      <w:r>
        <w:rPr>
          <w:rFonts w:hint="eastAsia" w:ascii="仿宋_GB2312" w:eastAsia="仿宋_GB2312"/>
          <w:sz w:val="32"/>
          <w:szCs w:val="32"/>
          <w:lang w:eastAsia="zh-CN"/>
        </w:rPr>
        <w:t>，</w:t>
      </w:r>
      <w:r>
        <w:rPr>
          <w:rFonts w:hint="eastAsia" w:ascii="仿宋_GB2312" w:eastAsia="仿宋_GB2312"/>
          <w:sz w:val="32"/>
          <w:szCs w:val="32"/>
        </w:rPr>
        <w:t>按财务审批程序、项目进</w:t>
      </w:r>
      <w:r>
        <w:rPr>
          <w:rFonts w:hint="eastAsia" w:ascii="仿宋_GB2312" w:eastAsia="仿宋_GB2312"/>
          <w:color w:val="auto"/>
          <w:sz w:val="32"/>
          <w:szCs w:val="32"/>
        </w:rPr>
        <w:t>程和合同约定等进行支付。</w:t>
      </w:r>
    </w:p>
    <w:p w14:paraId="15BC8F3C">
      <w:pPr>
        <w:pStyle w:val="17"/>
        <w:spacing w:line="570" w:lineRule="exact"/>
        <w:ind w:firstLine="640"/>
        <w:jc w:val="both"/>
        <w:rPr>
          <w:rFonts w:hint="eastAsia" w:ascii="Times New Roman" w:hAnsi="Times New Roman" w:eastAsia="黑体"/>
          <w:sz w:val="32"/>
          <w:szCs w:val="32"/>
        </w:rPr>
      </w:pPr>
      <w:r>
        <w:rPr>
          <w:rFonts w:ascii="Times New Roman" w:hAnsi="Times New Roman" w:eastAsia="黑体"/>
          <w:sz w:val="32"/>
          <w:szCs w:val="32"/>
        </w:rPr>
        <w:t>三、政府性基金预算支出情况</w:t>
      </w:r>
      <w:r>
        <w:rPr>
          <w:rFonts w:hint="eastAsia" w:ascii="Times New Roman" w:hAnsi="Times New Roman" w:eastAsia="黑体"/>
          <w:sz w:val="32"/>
          <w:szCs w:val="32"/>
        </w:rPr>
        <w:t>。</w:t>
      </w:r>
    </w:p>
    <w:p w14:paraId="0725075B">
      <w:pPr>
        <w:pStyle w:val="17"/>
        <w:spacing w:line="570" w:lineRule="exact"/>
        <w:ind w:firstLine="640"/>
        <w:jc w:val="both"/>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rPr>
        <w:t>我单位无政府性基金预算支出情况</w:t>
      </w:r>
      <w:r>
        <w:rPr>
          <w:rFonts w:hint="eastAsia" w:ascii="Times New Roman" w:hAnsi="Times New Roman" w:eastAsia="仿宋_GB2312"/>
          <w:color w:val="000000"/>
          <w:sz w:val="32"/>
          <w:szCs w:val="32"/>
          <w:lang w:eastAsia="zh-CN"/>
        </w:rPr>
        <w:t>。</w:t>
      </w:r>
    </w:p>
    <w:p w14:paraId="07D7D17E">
      <w:pPr>
        <w:pStyle w:val="17"/>
        <w:numPr>
          <w:ilvl w:val="0"/>
          <w:numId w:val="5"/>
        </w:numPr>
        <w:spacing w:line="570" w:lineRule="exact"/>
        <w:ind w:firstLine="640"/>
        <w:jc w:val="both"/>
        <w:rPr>
          <w:rFonts w:hint="eastAsia" w:ascii="Times New Roman" w:hAnsi="Times New Roman" w:eastAsia="黑体"/>
          <w:sz w:val="32"/>
          <w:szCs w:val="32"/>
        </w:rPr>
      </w:pPr>
      <w:r>
        <w:rPr>
          <w:rFonts w:ascii="Times New Roman" w:hAnsi="Times New Roman" w:eastAsia="黑体"/>
          <w:sz w:val="32"/>
          <w:szCs w:val="32"/>
        </w:rPr>
        <w:t>国有资本经营预算支出情况</w:t>
      </w:r>
      <w:r>
        <w:rPr>
          <w:rFonts w:hint="eastAsia" w:ascii="Times New Roman" w:hAnsi="Times New Roman" w:eastAsia="黑体"/>
          <w:sz w:val="32"/>
          <w:szCs w:val="32"/>
        </w:rPr>
        <w:t>。</w:t>
      </w:r>
    </w:p>
    <w:p w14:paraId="46CA14E4">
      <w:pPr>
        <w:pStyle w:val="17"/>
        <w:numPr>
          <w:ilvl w:val="0"/>
          <w:numId w:val="0"/>
        </w:numPr>
        <w:spacing w:line="570" w:lineRule="exact"/>
        <w:ind w:firstLine="640" w:firstLineChars="200"/>
        <w:jc w:val="both"/>
        <w:rPr>
          <w:rFonts w:hint="eastAsia" w:ascii="Times New Roman" w:hAnsi="Times New Roman" w:eastAsia="仿宋_GB2312"/>
          <w:sz w:val="32"/>
          <w:szCs w:val="32"/>
          <w:lang w:eastAsia="zh-CN"/>
        </w:rPr>
      </w:pPr>
      <w:r>
        <w:rPr>
          <w:rFonts w:hint="eastAsia" w:ascii="Times New Roman" w:hAnsi="Times New Roman" w:eastAsia="仿宋_GB2312"/>
          <w:color w:val="000000"/>
          <w:sz w:val="32"/>
          <w:szCs w:val="32"/>
        </w:rPr>
        <w:t>我单位无国有资本经营预算支出情况</w:t>
      </w:r>
      <w:r>
        <w:rPr>
          <w:rFonts w:hint="eastAsia" w:ascii="Times New Roman" w:hAnsi="Times New Roman" w:eastAsia="仿宋_GB2312"/>
          <w:color w:val="000000"/>
          <w:sz w:val="32"/>
          <w:szCs w:val="32"/>
          <w:lang w:eastAsia="zh-CN"/>
        </w:rPr>
        <w:t>。</w:t>
      </w:r>
    </w:p>
    <w:p w14:paraId="6E3F0E27">
      <w:pPr>
        <w:pStyle w:val="17"/>
        <w:numPr>
          <w:ilvl w:val="0"/>
          <w:numId w:val="5"/>
        </w:numPr>
        <w:spacing w:line="570" w:lineRule="exact"/>
        <w:ind w:left="0" w:leftChars="0" w:firstLine="640" w:firstLineChars="200"/>
        <w:jc w:val="both"/>
        <w:rPr>
          <w:rFonts w:hint="eastAsia" w:ascii="Times New Roman" w:hAnsi="Times New Roman" w:eastAsia="黑体"/>
          <w:sz w:val="32"/>
          <w:szCs w:val="32"/>
        </w:rPr>
      </w:pPr>
      <w:r>
        <w:rPr>
          <w:rFonts w:ascii="Times New Roman" w:hAnsi="Times New Roman" w:eastAsia="黑体"/>
          <w:sz w:val="32"/>
          <w:szCs w:val="32"/>
        </w:rPr>
        <w:t>社会保险基金预算支出情况</w:t>
      </w:r>
      <w:r>
        <w:rPr>
          <w:rFonts w:hint="eastAsia" w:ascii="Times New Roman" w:hAnsi="Times New Roman" w:eastAsia="黑体"/>
          <w:sz w:val="32"/>
          <w:szCs w:val="32"/>
        </w:rPr>
        <w:t>。</w:t>
      </w:r>
    </w:p>
    <w:p w14:paraId="1EC7E9CD">
      <w:pPr>
        <w:pStyle w:val="17"/>
        <w:numPr>
          <w:ilvl w:val="0"/>
          <w:numId w:val="0"/>
        </w:numPr>
        <w:spacing w:line="570" w:lineRule="exact"/>
        <w:ind w:leftChars="200" w:firstLine="320" w:firstLineChars="100"/>
        <w:jc w:val="both"/>
        <w:rPr>
          <w:rFonts w:hint="eastAsia" w:ascii="Times New Roman" w:hAnsi="Times New Roman" w:eastAsia="仿宋_GB2312"/>
          <w:sz w:val="32"/>
          <w:szCs w:val="32"/>
          <w:lang w:eastAsia="zh-CN"/>
        </w:rPr>
      </w:pPr>
      <w:r>
        <w:rPr>
          <w:rFonts w:hint="eastAsia" w:ascii="Times New Roman" w:hAnsi="Times New Roman" w:eastAsia="仿宋_GB2312"/>
          <w:color w:val="000000"/>
          <w:sz w:val="32"/>
          <w:szCs w:val="32"/>
        </w:rPr>
        <w:t>我单位无社会保险基金预算支出情况</w:t>
      </w:r>
      <w:r>
        <w:rPr>
          <w:rFonts w:hint="eastAsia" w:ascii="Times New Roman" w:hAnsi="Times New Roman" w:eastAsia="仿宋_GB2312"/>
          <w:color w:val="000000"/>
          <w:sz w:val="32"/>
          <w:szCs w:val="32"/>
          <w:lang w:eastAsia="zh-CN"/>
        </w:rPr>
        <w:t>。</w:t>
      </w:r>
    </w:p>
    <w:p w14:paraId="1BFBCD73">
      <w:pPr>
        <w:spacing w:line="570" w:lineRule="exact"/>
        <w:ind w:firstLine="640" w:firstLineChars="200"/>
        <w:jc w:val="both"/>
        <w:rPr>
          <w:rFonts w:eastAsia="黑体"/>
          <w:sz w:val="32"/>
          <w:szCs w:val="32"/>
        </w:rPr>
      </w:pPr>
      <w:r>
        <w:rPr>
          <w:rFonts w:eastAsia="黑体"/>
          <w:sz w:val="32"/>
          <w:szCs w:val="32"/>
        </w:rPr>
        <w:t>六、部门整体支出绩效情况</w:t>
      </w:r>
    </w:p>
    <w:p w14:paraId="029A8D87">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2024年，在市委市政府的坚强领导下，市数据局统筹做好数据工作良好开局、政务服务提质增效、信用体系建设开拓创新三项重点工作。在省对市高质量发展考核中，“优化政务服务”工作排名全省第三。“一照通”改革经验在省政府推动高质量发展综合督查中被通报表扬，被《全国营商环境情况交流》推介。“高效办成一件事”改革</w:t>
      </w:r>
      <w:r>
        <w:rPr>
          <w:rFonts w:hint="eastAsia" w:ascii="仿宋_GB2312" w:hAnsi="仿宋_GB2312" w:eastAsia="仿宋_GB2312" w:cs="仿宋_GB2312"/>
          <w:b w:val="0"/>
          <w:bCs w:val="0"/>
          <w:color w:val="auto"/>
          <w:sz w:val="32"/>
          <w:szCs w:val="32"/>
          <w:lang w:val="en-US" w:eastAsia="zh-CN"/>
        </w:rPr>
        <w:t>6个典型案例被省政府办公厅推广。在首届湖南省</w:t>
      </w:r>
      <w:r>
        <w:rPr>
          <w:rFonts w:hint="eastAsia" w:ascii="仿宋_GB2312" w:hAnsi="仿宋_GB2312" w:eastAsia="仿宋_GB2312" w:cs="仿宋_GB2312"/>
          <w:sz w:val="32"/>
          <w:szCs w:val="32"/>
          <w:lang w:val="en-US" w:eastAsia="zh-CN"/>
        </w:rPr>
        <w:t>“数据要素×”大赛中获3金2银，排名全省前列。信用建设开拓创新，我市被列入全省第一批重点改革“建立健全社会信用体系”改革试点</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sz w:val="32"/>
          <w:szCs w:val="32"/>
          <w:lang w:val="en-US" w:eastAsia="zh-CN"/>
        </w:rPr>
        <w:t>现将有关情况总结报告如下：</w:t>
      </w:r>
    </w:p>
    <w:p w14:paraId="7935637E">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630" w:leftChars="0"/>
        <w:jc w:val="left"/>
        <w:textAlignment w:val="auto"/>
        <w:rPr>
          <w:rFonts w:hint="default" w:ascii="黑体" w:hAnsi="黑体" w:eastAsia="黑体" w:cs="黑体"/>
          <w:b w:val="0"/>
          <w:bCs w:val="0"/>
          <w:sz w:val="32"/>
          <w:szCs w:val="40"/>
          <w:lang w:val="en-US" w:eastAsia="zh-CN"/>
        </w:rPr>
      </w:pPr>
      <w:r>
        <w:rPr>
          <w:rFonts w:hint="eastAsia" w:ascii="黑体" w:hAnsi="黑体" w:eastAsia="黑体" w:cs="黑体"/>
          <w:b w:val="0"/>
          <w:bCs w:val="0"/>
          <w:sz w:val="32"/>
          <w:szCs w:val="40"/>
          <w:lang w:val="en-US" w:eastAsia="zh-CN"/>
        </w:rPr>
        <w:t>1、强化党建引领，始终保持对党忠诚政治底色</w:t>
      </w:r>
    </w:p>
    <w:p w14:paraId="2EE551F2">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b w:val="0"/>
          <w:bCs w:val="0"/>
          <w:color w:val="auto"/>
          <w:sz w:val="32"/>
          <w:szCs w:val="32"/>
          <w:lang w:val="en-US" w:eastAsia="zh-CN"/>
        </w:rPr>
      </w:pPr>
      <w:r>
        <w:rPr>
          <w:rFonts w:hint="eastAsia" w:ascii="楷体" w:hAnsi="楷体" w:eastAsia="楷体" w:cs="楷体"/>
          <w:b/>
          <w:bCs/>
          <w:sz w:val="32"/>
          <w:szCs w:val="32"/>
          <w:lang w:val="en-US" w:eastAsia="zh-CN"/>
        </w:rPr>
        <w:t>（1）是加强政治建设。</w:t>
      </w:r>
      <w:r>
        <w:rPr>
          <w:rFonts w:hint="eastAsia" w:ascii="仿宋_GB2312" w:hAnsi="仿宋_GB2312" w:eastAsia="仿宋_GB2312" w:cs="仿宋_GB2312"/>
          <w:sz w:val="32"/>
          <w:szCs w:val="40"/>
          <w:lang w:val="en-US" w:eastAsia="zh-CN"/>
        </w:rPr>
        <w:t>局党组全面落实政治学习制度，通过党组会“第一议题”、理论中心组学习 “第一主题”、党支部 “三会一课”“第一内容”，引导全局党员干部深入学习习近平新时代中国特色社会主义思想和党的二十届三中全会精神，</w:t>
      </w:r>
      <w:r>
        <w:rPr>
          <w:rFonts w:hint="eastAsia" w:ascii="仿宋_GB2312" w:hAnsi="仿宋_GB2312" w:eastAsia="仿宋_GB2312" w:cs="仿宋_GB2312"/>
          <w:sz w:val="32"/>
          <w:szCs w:val="32"/>
          <w:lang w:val="en-US" w:eastAsia="zh-CN"/>
        </w:rPr>
        <w:t>深刻领悟“两个确立”的决定性意义，增强“四个意识”、坚定“四个自信”、做到“两个维护”，用习近平新时代中国特色社会主义思想武装头脑、指导实践、推动工作。</w:t>
      </w:r>
      <w:r>
        <w:rPr>
          <w:rFonts w:hint="eastAsia" w:ascii="仿宋_GB2312" w:hAnsi="仿宋_GB2312" w:eastAsia="仿宋_GB2312" w:cs="仿宋_GB2312"/>
          <w:sz w:val="32"/>
          <w:szCs w:val="40"/>
          <w:lang w:val="en-US" w:eastAsia="zh-CN"/>
        </w:rPr>
        <w:t>全年累计开展理论学习中心组学习12次，讲专题党课6次，参与党员覆盖率达100%。</w:t>
      </w:r>
      <w:r>
        <w:rPr>
          <w:rFonts w:hint="eastAsia" w:ascii="楷体" w:hAnsi="楷体" w:eastAsia="楷体" w:cs="楷体"/>
          <w:b/>
          <w:bCs/>
          <w:sz w:val="32"/>
          <w:szCs w:val="32"/>
          <w:lang w:val="en-US" w:eastAsia="zh-CN"/>
        </w:rPr>
        <w:t>（2）是加强党风廉政建设。</w:t>
      </w:r>
      <w:r>
        <w:rPr>
          <w:rFonts w:hint="eastAsia" w:ascii="仿宋_GB2312" w:hAnsi="仿宋_GB2312" w:eastAsia="仿宋_GB2312" w:cs="仿宋_GB2312"/>
          <w:b w:val="0"/>
          <w:bCs w:val="0"/>
          <w:sz w:val="32"/>
          <w:szCs w:val="32"/>
          <w:lang w:val="en-US" w:eastAsia="zh-CN"/>
        </w:rPr>
        <w:t>把党纪学习教育作为一项重要政治任务，主要负责同志亲自部署推动、带头讲廉政党课，各支部书记分别讲专题党课。丰富警示教育形式，组织开展“好家风·好传承”主题活动，观看《迷失的初心6》警示教育片，</w:t>
      </w:r>
      <w:r>
        <w:rPr>
          <w:rFonts w:hint="eastAsia" w:ascii="仿宋_GB2312" w:hAnsi="仿宋_GB2312" w:eastAsia="仿宋_GB2312" w:cs="仿宋_GB2312"/>
          <w:color w:val="auto"/>
          <w:spacing w:val="12"/>
          <w:sz w:val="32"/>
          <w:szCs w:val="32"/>
        </w:rPr>
        <w:t>有效增强党员干部廉洁自律意识。</w:t>
      </w:r>
      <w:r>
        <w:rPr>
          <w:rFonts w:hint="eastAsia" w:ascii="仿宋_GB2312" w:hAnsi="仿宋_GB2312" w:eastAsia="仿宋_GB2312" w:cs="仿宋_GB2312"/>
          <w:b w:val="0"/>
          <w:bCs w:val="0"/>
          <w:sz w:val="32"/>
          <w:szCs w:val="32"/>
          <w:lang w:val="en-US" w:eastAsia="zh-CN"/>
        </w:rPr>
        <w:t>班子成员均制定个人廉政风险排查和自我防范承诺表，全局70名干部全部完善了个人廉政档案。严格落实“三重一大”集体决策、领导干部个人事项填报等制度，自觉接受纪检组监督。</w:t>
      </w:r>
      <w:r>
        <w:rPr>
          <w:rFonts w:hint="eastAsia" w:ascii="楷体" w:hAnsi="楷体" w:eastAsia="楷体" w:cs="楷体"/>
          <w:b/>
          <w:bCs/>
          <w:sz w:val="32"/>
          <w:szCs w:val="32"/>
          <w:lang w:val="en-US" w:eastAsia="zh-CN"/>
        </w:rPr>
        <w:t>（3）是加强作风建设。</w:t>
      </w:r>
      <w:r>
        <w:rPr>
          <w:rFonts w:hint="eastAsia" w:ascii="仿宋_GB2312" w:hAnsi="仿宋_GB2312" w:eastAsia="仿宋_GB2312" w:cs="仿宋_GB2312"/>
          <w:sz w:val="32"/>
          <w:szCs w:val="40"/>
          <w:lang w:val="en-US" w:eastAsia="zh-CN"/>
        </w:rPr>
        <w:t>坚决纠治“四风”问题，及时传达有关文件精神。围绕重要时间节点，对党员干部发消息提醒，敲响作风纪律警钟。组织机关党员下沉社区120余次，开展扶贫助困、政策宣讲、环境整治等志愿活动200余次，推动基层服务能力显著提升。深化为基层减负，</w:t>
      </w:r>
      <w:r>
        <w:rPr>
          <w:rFonts w:hint="eastAsia" w:ascii="仿宋_GB2312" w:hAnsi="仿宋_GB2312" w:eastAsia="仿宋_GB2312" w:cs="仿宋_GB2312"/>
          <w:b w:val="0"/>
          <w:bCs w:val="0"/>
          <w:kern w:val="2"/>
          <w:sz w:val="32"/>
          <w:szCs w:val="32"/>
          <w:lang w:val="en-US" w:eastAsia="zh-CN" w:bidi="ar-SA"/>
        </w:rPr>
        <w:t>对各级各部门使用的政务APP、公众号、工作群组、小程序等移动互联网应用程序进行全面排查，关停、整合、纠治政务移动互联网应用程序1346个，总体删除率63.61%。</w:t>
      </w:r>
      <w:r>
        <w:rPr>
          <w:rFonts w:hint="eastAsia" w:ascii="仿宋_GB2312" w:hAnsi="仿宋_GB2312" w:eastAsia="仿宋_GB2312" w:cs="仿宋_GB2312"/>
          <w:b w:val="0"/>
          <w:bCs w:val="0"/>
          <w:color w:val="auto"/>
          <w:sz w:val="32"/>
          <w:szCs w:val="32"/>
          <w:lang w:val="en-US" w:eastAsia="zh-CN"/>
        </w:rPr>
        <w:t>政务新媒体减量提质的做法被省政府网站推介。</w:t>
      </w:r>
      <w:r>
        <w:rPr>
          <w:rFonts w:hint="eastAsia" w:ascii="楷体" w:hAnsi="楷体" w:eastAsia="楷体" w:cs="楷体"/>
          <w:b/>
          <w:bCs/>
          <w:sz w:val="32"/>
          <w:szCs w:val="32"/>
          <w:lang w:val="en-US" w:eastAsia="zh-CN"/>
        </w:rPr>
        <w:t>（4）是加强意识形态工作。</w:t>
      </w:r>
      <w:r>
        <w:rPr>
          <w:rFonts w:hint="eastAsia" w:ascii="仿宋_GB2312" w:hAnsi="仿宋_GB2312" w:eastAsia="仿宋_GB2312" w:cs="仿宋_GB2312"/>
          <w:sz w:val="32"/>
          <w:szCs w:val="40"/>
          <w:lang w:val="en-US" w:eastAsia="zh-CN"/>
        </w:rPr>
        <w:t>严格落实意识形态工作责任制，积极开展意识形态研判，增强责任意识、阵地意识</w:t>
      </w:r>
      <w:r>
        <w:rPr>
          <w:rFonts w:hint="eastAsia" w:ascii="仿宋_GB2312" w:hAnsi="仿宋_GB2312" w:eastAsia="仿宋_GB2312" w:cs="仿宋_GB2312"/>
          <w:bCs/>
          <w:color w:val="000000"/>
          <w:kern w:val="2"/>
          <w:sz w:val="32"/>
          <w:szCs w:val="32"/>
          <w:lang w:val="en-US" w:eastAsia="zh-CN" w:bidi="ar-SA"/>
        </w:rPr>
        <w:t>。集中攻坚网络安全保卫战，修补电子政务外网工作漏洞或事件2150次。</w:t>
      </w:r>
      <w:r>
        <w:rPr>
          <w:rFonts w:hint="eastAsia" w:ascii="仿宋_GB2312" w:hAnsi="仿宋_GB2312" w:eastAsia="仿宋_GB2312" w:cs="仿宋_GB2312"/>
          <w:sz w:val="32"/>
          <w:szCs w:val="40"/>
          <w:lang w:eastAsia="zh-CN"/>
        </w:rPr>
        <w:t>加强对</w:t>
      </w:r>
      <w:r>
        <w:rPr>
          <w:rFonts w:hint="eastAsia" w:ascii="仿宋_GB2312" w:hAnsi="仿宋_GB2312" w:eastAsia="仿宋_GB2312" w:cs="仿宋_GB2312"/>
          <w:sz w:val="32"/>
          <w:szCs w:val="40"/>
          <w:lang w:val="en-US" w:eastAsia="zh-CN"/>
        </w:rPr>
        <w:t>全市政府网站和政务新媒体</w:t>
      </w:r>
      <w:r>
        <w:rPr>
          <w:rFonts w:hint="eastAsia" w:ascii="仿宋_GB2312" w:hAnsi="仿宋_GB2312" w:eastAsia="仿宋_GB2312" w:cs="仿宋_GB2312"/>
          <w:sz w:val="32"/>
          <w:szCs w:val="40"/>
          <w:lang w:eastAsia="zh-CN"/>
        </w:rPr>
        <w:t>的监督，</w:t>
      </w:r>
      <w:r>
        <w:rPr>
          <w:rFonts w:hint="eastAsia" w:ascii="仿宋_GB2312" w:hAnsi="仿宋_GB2312" w:eastAsia="仿宋_GB2312" w:cs="仿宋_GB2312"/>
          <w:b w:val="0"/>
          <w:bCs w:val="0"/>
          <w:color w:val="auto"/>
          <w:sz w:val="32"/>
          <w:szCs w:val="32"/>
          <w:lang w:val="en-US" w:eastAsia="zh-CN"/>
        </w:rPr>
        <w:t>市政府门户网站今年共发布政务信息4702 条，政策解读 148 条，回应网民留言 1678件，开展征集调查11次，发布重大事项预公开 6次，组织专题在线访谈4 期，总访问量达1200余万次。</w:t>
      </w:r>
    </w:p>
    <w:p w14:paraId="0E23330A">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黑体" w:hAnsi="黑体" w:eastAsia="黑体" w:cs="黑体"/>
          <w:b w:val="0"/>
          <w:bCs w:val="0"/>
          <w:sz w:val="32"/>
          <w:szCs w:val="40"/>
          <w:lang w:val="en-US" w:eastAsia="zh-CN"/>
        </w:rPr>
      </w:pPr>
      <w:r>
        <w:rPr>
          <w:rFonts w:hint="eastAsia" w:ascii="黑体" w:hAnsi="黑体" w:eastAsia="黑体" w:cs="黑体"/>
          <w:b w:val="0"/>
          <w:bCs w:val="0"/>
          <w:sz w:val="32"/>
          <w:szCs w:val="40"/>
          <w:lang w:val="en-US" w:eastAsia="zh-CN"/>
        </w:rPr>
        <w:t>2、围绕发展大局，在履职尽责中展现担当作为</w:t>
      </w:r>
    </w:p>
    <w:p w14:paraId="611CD908">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bCs/>
          <w:color w:val="auto"/>
          <w:sz w:val="32"/>
          <w:szCs w:val="32"/>
          <w:lang w:val="en-US" w:eastAsia="zh-CN"/>
        </w:rPr>
        <w:t>（1）是数字化建设统筹发力。</w:t>
      </w:r>
      <w:r>
        <w:rPr>
          <w:rFonts w:hint="eastAsia" w:ascii="仿宋_GB2312" w:hAnsi="仿宋_GB2312" w:eastAsia="仿宋_GB2312" w:cs="仿宋_GB2312"/>
          <w:b w:val="0"/>
          <w:bCs w:val="0"/>
          <w:color w:val="auto"/>
          <w:sz w:val="32"/>
          <w:szCs w:val="32"/>
          <w:lang w:val="en-US" w:eastAsia="zh-CN"/>
        </w:rPr>
        <w:t>以数据局组建为契机，进一步理顺了全市一体化推进信息化建设和政务数据汇聚共享的工作机制。初步建成永州市大数据枢纽和“一网通办”平台，全面开展政务数据目录编制、注册、数据资源挂接及更新等工作。市本级编制政务数据目录1.18万条，各县市区4.23万条。政务信息资源在省政务共享网站挂载率达到100%，政务数据共享需求满足度100%。完成数据直达基层工作接口联调40个，进度处于全省前列。</w:t>
      </w:r>
      <w:r>
        <w:rPr>
          <w:rFonts w:hint="eastAsia" w:ascii="楷体" w:hAnsi="楷体" w:eastAsia="楷体" w:cs="楷体"/>
          <w:b/>
          <w:bCs/>
          <w:color w:val="auto"/>
          <w:sz w:val="32"/>
          <w:szCs w:val="32"/>
          <w:lang w:val="en-US" w:eastAsia="zh-CN"/>
        </w:rPr>
        <w:t>（2）是“高效办成一件事”落地见效</w:t>
      </w:r>
      <w:r>
        <w:rPr>
          <w:rFonts w:hint="default" w:ascii="楷体" w:hAnsi="楷体" w:eastAsia="楷体" w:cs="楷体"/>
          <w:b/>
          <w:bCs/>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17个“高效办成一件事”落地，平均减时间80%、减材料55%、减跑动60%，推出“不动产登记带押过户”“公证+不动产登记”等本地特色“一件事”</w:t>
      </w:r>
      <w:r>
        <w:rPr>
          <w:rFonts w:hint="default"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全市6个典型案例被省推广。“深化‘一照通’改革，推行‘企业开办高效办成一件事’”的典型经验在2024年度省政府推动高质量发展综合督查中被通报表扬，并被《全国营商环境情况交流》推介。</w:t>
      </w:r>
      <w:r>
        <w:rPr>
          <w:rFonts w:hint="eastAsia" w:ascii="楷体" w:hAnsi="楷体" w:eastAsia="楷体" w:cs="楷体"/>
          <w:b/>
          <w:bCs/>
          <w:color w:val="auto"/>
          <w:sz w:val="32"/>
          <w:szCs w:val="32"/>
          <w:lang w:val="en-US" w:eastAsia="zh-CN"/>
        </w:rPr>
        <w:t>（3）是政务服务效能持续提升。</w:t>
      </w:r>
      <w:r>
        <w:rPr>
          <w:rFonts w:hint="eastAsia" w:ascii="仿宋_GB2312" w:hAnsi="仿宋_GB2312" w:eastAsia="仿宋_GB2312" w:cs="仿宋_GB2312"/>
          <w:b w:val="0"/>
          <w:bCs w:val="0"/>
          <w:color w:val="auto"/>
          <w:sz w:val="32"/>
          <w:szCs w:val="32"/>
          <w:lang w:val="en-US" w:eastAsia="zh-CN"/>
        </w:rPr>
        <w:t>主动承接全省“一网通办”系统试点工作，企业和群众办事纸质证照免提交率达85%，政务服务统一受理办结率达92%，物流送达、在线支付、物流收件三个支持率均达到了90.6%，位居全省前列。建好用好“湘易办”永州旗舰店，“随手拍”“政企通”“个人电子健康档案”等特色服务受到企业群众欢迎。全年通过市政务联动处置平台，及时处置</w:t>
      </w:r>
      <w:r>
        <w:rPr>
          <w:rFonts w:hint="default" w:ascii="仿宋_GB2312" w:hAnsi="仿宋_GB2312" w:eastAsia="仿宋_GB2312" w:cs="仿宋_GB2312"/>
          <w:b w:val="0"/>
          <w:bCs w:val="0"/>
          <w:color w:val="auto"/>
          <w:sz w:val="32"/>
          <w:szCs w:val="32"/>
          <w:lang w:eastAsia="zh-CN"/>
        </w:rPr>
        <w:t>企业群众</w:t>
      </w:r>
      <w:r>
        <w:rPr>
          <w:rFonts w:hint="eastAsia" w:ascii="仿宋_GB2312" w:hAnsi="仿宋_GB2312" w:eastAsia="仿宋_GB2312" w:cs="仿宋_GB2312"/>
          <w:b w:val="0"/>
          <w:bCs w:val="0"/>
          <w:color w:val="auto"/>
          <w:sz w:val="32"/>
          <w:szCs w:val="32"/>
          <w:lang w:val="en-US" w:eastAsia="zh-CN"/>
        </w:rPr>
        <w:t>各类诉求45.68万件。构建“线上预约+线下服务”帮代办服务机制，平均提速超过68%。市政务中心窗口主动评价5.2万人次、随机电话回访3854人次，满意率均超过99%，发放2468份问卷调查，满意率100%。</w:t>
      </w:r>
      <w:r>
        <w:rPr>
          <w:rFonts w:hint="eastAsia" w:ascii="楷体" w:hAnsi="楷体" w:eastAsia="楷体" w:cs="楷体"/>
          <w:b/>
          <w:bCs/>
          <w:color w:val="auto"/>
          <w:sz w:val="32"/>
          <w:szCs w:val="32"/>
          <w:lang w:val="en-US" w:eastAsia="zh-CN"/>
        </w:rPr>
        <w:t>（4）是数据要素赋能千行百业。</w:t>
      </w:r>
      <w:r>
        <w:rPr>
          <w:rFonts w:hint="eastAsia" w:ascii="仿宋_GB2312" w:hAnsi="仿宋_GB2312" w:eastAsia="仿宋_GB2312" w:cs="仿宋_GB2312"/>
          <w:b w:val="0"/>
          <w:bCs w:val="0"/>
          <w:color w:val="auto"/>
          <w:sz w:val="32"/>
          <w:szCs w:val="32"/>
          <w:lang w:val="en-US" w:eastAsia="zh-CN"/>
        </w:rPr>
        <w:t>积极参与“数据要素×”大赛，3个案例获省一等奖，2个案例获省二等奖，3个数据要素创新应用场景入选省首批“数据要素X”典型案例。同时，积极抓好优秀案例推广和成果转化，</w:t>
      </w:r>
      <w:r>
        <w:rPr>
          <w:rFonts w:hint="default" w:ascii="仿宋_GB2312" w:hAnsi="仿宋_GB2312" w:eastAsia="仿宋_GB2312" w:cs="仿宋_GB2312"/>
          <w:b w:val="0"/>
          <w:bCs w:val="0"/>
          <w:color w:val="auto"/>
          <w:sz w:val="32"/>
          <w:szCs w:val="32"/>
          <w:lang w:val="en-US" w:eastAsia="zh-CN"/>
        </w:rPr>
        <w:t>促进数据要素在社会治理、文化旅游、现代农业等领域</w:t>
      </w:r>
      <w:r>
        <w:rPr>
          <w:rFonts w:hint="eastAsia" w:ascii="仿宋_GB2312" w:hAnsi="仿宋_GB2312" w:eastAsia="仿宋_GB2312" w:cs="仿宋_GB2312"/>
          <w:b w:val="0"/>
          <w:bCs w:val="0"/>
          <w:color w:val="auto"/>
          <w:sz w:val="32"/>
          <w:szCs w:val="32"/>
          <w:lang w:val="en-US" w:eastAsia="zh-CN"/>
        </w:rPr>
        <w:t>充分发挥</w:t>
      </w:r>
      <w:r>
        <w:rPr>
          <w:rFonts w:hint="default" w:ascii="仿宋_GB2312" w:hAnsi="仿宋_GB2312" w:eastAsia="仿宋_GB2312" w:cs="仿宋_GB2312"/>
          <w:b w:val="0"/>
          <w:bCs w:val="0"/>
          <w:color w:val="auto"/>
          <w:sz w:val="32"/>
          <w:szCs w:val="32"/>
          <w:lang w:val="en-US" w:eastAsia="zh-CN"/>
        </w:rPr>
        <w:t>乘数效应</w:t>
      </w:r>
      <w:r>
        <w:rPr>
          <w:rFonts w:hint="eastAsia" w:ascii="仿宋_GB2312" w:hAnsi="仿宋_GB2312" w:eastAsia="仿宋_GB2312" w:cs="仿宋_GB2312"/>
          <w:b w:val="0"/>
          <w:bCs w:val="0"/>
          <w:color w:val="auto"/>
          <w:sz w:val="32"/>
          <w:szCs w:val="32"/>
          <w:lang w:val="en-US" w:eastAsia="zh-CN"/>
        </w:rPr>
        <w:t>。如“数字浯溪”成果转化的摩崖石刻数字博物馆在永州旅发大会上亮相开馆，受到广泛好评；“社智立方”项目利用</w:t>
      </w:r>
      <w:r>
        <w:rPr>
          <w:rFonts w:hint="eastAsia" w:ascii="仿宋_GB2312" w:hAnsi="仿宋_GB2312" w:eastAsia="仿宋_GB2312" w:cs="仿宋_GB2312"/>
          <w:b w:val="0"/>
          <w:bCs w:val="0"/>
          <w:kern w:val="2"/>
          <w:sz w:val="32"/>
          <w:szCs w:val="32"/>
          <w:lang w:val="en-US" w:eastAsia="zh-CN" w:bidi="ar-SA"/>
        </w:rPr>
        <w:t>数字化工具简化基层采数用数程序，赋能基层减负增效。</w:t>
      </w:r>
      <w:r>
        <w:rPr>
          <w:rFonts w:hint="eastAsia" w:ascii="仿宋_GB2312" w:hAnsi="仿宋_GB2312" w:eastAsia="仿宋_GB2312" w:cs="仿宋_GB2312"/>
          <w:b w:val="0"/>
          <w:bCs w:val="0"/>
          <w:color w:val="auto"/>
          <w:sz w:val="32"/>
          <w:szCs w:val="32"/>
          <w:lang w:val="en-US" w:eastAsia="zh-CN"/>
        </w:rPr>
        <w:t>人工智能赋能基层实际工作场景，提高村（社区）治理和服务能力，为基层减负。</w:t>
      </w:r>
    </w:p>
    <w:p w14:paraId="7A9D4718">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lang w:val="en-US" w:eastAsia="zh-CN"/>
        </w:rPr>
      </w:pPr>
      <w:r>
        <w:rPr>
          <w:rFonts w:hint="eastAsia" w:ascii="黑体" w:hAnsi="黑体" w:eastAsia="黑体" w:cs="黑体"/>
          <w:b w:val="0"/>
          <w:bCs w:val="0"/>
          <w:sz w:val="32"/>
          <w:szCs w:val="40"/>
          <w:lang w:val="en-US" w:eastAsia="zh-CN"/>
        </w:rPr>
        <w:t>3、锐意改革创新，</w:t>
      </w:r>
      <w:r>
        <w:rPr>
          <w:rFonts w:hint="eastAsia" w:ascii="黑体" w:hAnsi="黑体" w:eastAsia="黑体" w:cs="黑体"/>
          <w:b w:val="0"/>
          <w:bCs w:val="0"/>
          <w:sz w:val="32"/>
          <w:szCs w:val="40"/>
          <w:lang w:val="en-US" w:eastAsia="zh-CN"/>
        </w:rPr>
        <w:fldChar w:fldCharType="begin"/>
      </w:r>
      <w:r>
        <w:rPr>
          <w:rFonts w:hint="eastAsia" w:ascii="黑体" w:hAnsi="黑体" w:eastAsia="黑体" w:cs="黑体"/>
          <w:b w:val="0"/>
          <w:bCs w:val="0"/>
          <w:sz w:val="32"/>
          <w:szCs w:val="40"/>
          <w:lang w:val="en-US" w:eastAsia="zh-CN"/>
        </w:rPr>
        <w:instrText xml:space="preserve"> HYPERLINK "https://www.baidu.com/link?url=TcDZRTPPgoQQzbuLpTfT1GM0L3Dec67ACVro-vacT2vNMIInC5eh9Jl2l8qFN0btVeUGLpU-_JCH0y0kKkMdF6D4q8AWwD3jQSJH2z_J_mK&amp;wd=&amp;eqid=bf01e2d50ea6090000000005678e04a9" \t "https://www.baidu.com/_blank" </w:instrText>
      </w:r>
      <w:r>
        <w:rPr>
          <w:rFonts w:hint="eastAsia" w:ascii="黑体" w:hAnsi="黑体" w:eastAsia="黑体" w:cs="黑体"/>
          <w:b w:val="0"/>
          <w:bCs w:val="0"/>
          <w:sz w:val="32"/>
          <w:szCs w:val="40"/>
          <w:lang w:val="en-US" w:eastAsia="zh-CN"/>
        </w:rPr>
        <w:fldChar w:fldCharType="separate"/>
      </w:r>
      <w:r>
        <w:rPr>
          <w:rFonts w:hint="eastAsia" w:ascii="黑体" w:hAnsi="黑体" w:eastAsia="黑体" w:cs="黑体"/>
          <w:b w:val="0"/>
          <w:bCs w:val="0"/>
          <w:sz w:val="32"/>
          <w:szCs w:val="40"/>
          <w:lang w:val="en-US" w:eastAsia="zh-CN"/>
        </w:rPr>
        <w:t>找准因地制宜加快发展的突破口</w:t>
      </w:r>
      <w:r>
        <w:rPr>
          <w:rFonts w:hint="eastAsia" w:ascii="黑体" w:hAnsi="黑体" w:eastAsia="黑体" w:cs="黑体"/>
          <w:b w:val="0"/>
          <w:bCs w:val="0"/>
          <w:sz w:val="32"/>
          <w:szCs w:val="40"/>
          <w:lang w:val="en-US" w:eastAsia="zh-CN"/>
        </w:rPr>
        <w:fldChar w:fldCharType="end"/>
      </w:r>
    </w:p>
    <w:p w14:paraId="038A498B">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bCs/>
          <w:color w:val="auto"/>
          <w:sz w:val="32"/>
          <w:szCs w:val="32"/>
          <w:lang w:val="en-US" w:eastAsia="zh-CN"/>
        </w:rPr>
        <w:t>（1）是以信息化统筹改革实现降本增效。</w:t>
      </w:r>
      <w:r>
        <w:rPr>
          <w:rFonts w:hint="eastAsia" w:ascii="仿宋_GB2312" w:hAnsi="仿宋_GB2312" w:eastAsia="仿宋_GB2312" w:cs="仿宋_GB2312"/>
          <w:b w:val="0"/>
          <w:bCs w:val="0"/>
          <w:color w:val="auto"/>
          <w:sz w:val="32"/>
          <w:szCs w:val="32"/>
          <w:lang w:val="en-US" w:eastAsia="zh-CN"/>
        </w:rPr>
        <w:t>全面统一全市信息化规划建设，坚持“共建共享共用”，近年来节约市本级信息化建设运维资金1.2亿元。在此基础上，针对市本级信息化系统分散运维存在的财政运维负担重、运维资源未得到最优配置、质效不高等问题，在全省率先探索推动市本级信息化项目统一运维，结合“零基预算改革”，由市数据局全面统筹市直部门的信息化预算管理，实现降本增效。</w:t>
      </w:r>
      <w:r>
        <w:rPr>
          <w:rFonts w:hint="eastAsia" w:ascii="楷体" w:hAnsi="楷体" w:eastAsia="楷体" w:cs="楷体"/>
          <w:b/>
          <w:bCs/>
          <w:color w:val="auto"/>
          <w:sz w:val="32"/>
          <w:szCs w:val="32"/>
          <w:lang w:val="en-US" w:eastAsia="zh-CN"/>
        </w:rPr>
        <w:t>（2）是以数据要素市场化配置改革激活数据要素潜能。</w:t>
      </w:r>
      <w:r>
        <w:rPr>
          <w:rFonts w:hint="eastAsia" w:ascii="仿宋_GB2312" w:hAnsi="仿宋_GB2312" w:eastAsia="仿宋_GB2312" w:cs="仿宋_GB2312"/>
          <w:b w:val="0"/>
          <w:bCs w:val="0"/>
          <w:color w:val="auto"/>
          <w:sz w:val="32"/>
          <w:szCs w:val="32"/>
          <w:lang w:val="en-US" w:eastAsia="zh-CN"/>
        </w:rPr>
        <w:t>数据要素市场化配置改革实现破局</w:t>
      </w:r>
      <w:r>
        <w:rPr>
          <w:rFonts w:hint="default"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首次实现以数据要素招商引资，Ai永州数字经济中台引进上市公司与本地平台公司共同投资</w:t>
      </w:r>
      <w:r>
        <w:rPr>
          <w:rFonts w:hint="default" w:ascii="仿宋_GB2312" w:hAnsi="仿宋_GB2312" w:eastAsia="仿宋_GB2312" w:cs="仿宋_GB2312"/>
          <w:b w:val="0"/>
          <w:bCs w:val="0"/>
          <w:color w:val="auto"/>
          <w:sz w:val="32"/>
          <w:szCs w:val="32"/>
          <w:lang w:eastAsia="zh-CN"/>
        </w:rPr>
        <w:t>建设</w:t>
      </w:r>
      <w:r>
        <w:rPr>
          <w:rFonts w:hint="eastAsia" w:ascii="仿宋_GB2312" w:hAnsi="仿宋_GB2312" w:eastAsia="仿宋_GB2312" w:cs="仿宋_GB2312"/>
          <w:b w:val="0"/>
          <w:bCs w:val="0"/>
          <w:color w:val="auto"/>
          <w:sz w:val="32"/>
          <w:szCs w:val="32"/>
          <w:lang w:val="en-US" w:eastAsia="zh-CN"/>
        </w:rPr>
        <w:t>。在永州市综合金融信用服务平台的建设和运行中，积极探索数据资产创新应用模式，以数据价值反哺平台运行，</w:t>
      </w:r>
      <w:r>
        <w:rPr>
          <w:rFonts w:hint="default" w:ascii="仿宋_GB2312" w:hAnsi="仿宋_GB2312" w:eastAsia="仿宋_GB2312" w:cs="仿宋_GB2312"/>
          <w:b w:val="0"/>
          <w:bCs w:val="0"/>
          <w:color w:val="auto"/>
          <w:sz w:val="32"/>
          <w:szCs w:val="32"/>
          <w:lang w:eastAsia="zh-CN"/>
        </w:rPr>
        <w:t>现</w:t>
      </w:r>
      <w:r>
        <w:rPr>
          <w:rFonts w:hint="eastAsia" w:ascii="仿宋_GB2312" w:hAnsi="仿宋_GB2312" w:eastAsia="仿宋_GB2312" w:cs="仿宋_GB2312"/>
          <w:b w:val="0"/>
          <w:bCs w:val="0"/>
          <w:color w:val="auto"/>
          <w:sz w:val="32"/>
          <w:szCs w:val="32"/>
          <w:lang w:val="en-US" w:eastAsia="zh-CN"/>
        </w:rPr>
        <w:t>已入驻金融机构528家，注册企业28万余家，发布信贷产品207个，成功授信金额717.81亿元。</w:t>
      </w:r>
      <w:r>
        <w:rPr>
          <w:rFonts w:hint="eastAsia" w:ascii="楷体" w:hAnsi="楷体" w:eastAsia="楷体" w:cs="楷体"/>
          <w:b/>
          <w:bCs/>
          <w:color w:val="auto"/>
          <w:sz w:val="32"/>
          <w:szCs w:val="32"/>
          <w:lang w:val="en-US" w:eastAsia="zh-CN"/>
        </w:rPr>
        <w:t>（3）是以“建立健全社会信用体系”改革赋能发展提速。</w:t>
      </w:r>
      <w:r>
        <w:rPr>
          <w:rFonts w:hint="eastAsia" w:ascii="仿宋_GB2312" w:hAnsi="仿宋_GB2312" w:eastAsia="仿宋_GB2312" w:cs="仿宋_GB2312"/>
          <w:sz w:val="32"/>
          <w:szCs w:val="32"/>
          <w:lang w:val="en-US" w:eastAsia="zh-CN"/>
        </w:rPr>
        <w:t>我市被列入全省第一批重点改革“建立健全社会信用体系”改革试点，</w:t>
      </w:r>
      <w:r>
        <w:rPr>
          <w:rFonts w:hint="eastAsia" w:ascii="仿宋_GB2312" w:hAnsi="仿宋_GB2312" w:eastAsia="仿宋_GB2312" w:cs="仿宋_GB2312"/>
          <w:b w:val="0"/>
          <w:bCs w:val="0"/>
          <w:color w:val="auto"/>
          <w:sz w:val="32"/>
          <w:szCs w:val="32"/>
          <w:lang w:val="en-US" w:eastAsia="zh-CN"/>
        </w:rPr>
        <w:t>“乡村振兴贷”项目通过湖南省“信易+”惠民便企场景试点验收。</w:t>
      </w:r>
      <w:r>
        <w:rPr>
          <w:rFonts w:hint="eastAsia" w:ascii="仿宋_GB2312" w:hAnsi="仿宋_GB2312" w:eastAsia="仿宋_GB2312" w:cs="仿宋_GB2312"/>
          <w:sz w:val="32"/>
          <w:szCs w:val="32"/>
          <w:lang w:val="en-US" w:eastAsia="zh-CN"/>
        </w:rPr>
        <w:t>目前</w:t>
      </w:r>
      <w:r>
        <w:rPr>
          <w:rFonts w:hint="eastAsia" w:ascii="仿宋_GB2312" w:hAnsi="仿宋_GB2312" w:eastAsia="仿宋_GB2312" w:cs="仿宋_GB2312"/>
          <w:b w:val="0"/>
          <w:bCs w:val="0"/>
          <w:color w:val="auto"/>
          <w:sz w:val="32"/>
          <w:szCs w:val="32"/>
          <w:lang w:val="en-US" w:eastAsia="zh-CN"/>
        </w:rPr>
        <w:t>“信用永州”累计归集和共享各类信用信息数据</w:t>
      </w:r>
      <w:r>
        <w:rPr>
          <w:rFonts w:hint="eastAsia" w:ascii="仿宋_GB2312" w:hAnsi="仿宋_GB2312" w:eastAsia="仿宋_GB2312" w:cs="仿宋_GB2312"/>
          <w:b w:val="0"/>
          <w:bCs w:val="0"/>
          <w:color w:val="auto"/>
          <w:sz w:val="32"/>
          <w:szCs w:val="32"/>
          <w:lang w:val="en" w:eastAsia="zh-CN"/>
        </w:rPr>
        <w:t>4</w:t>
      </w:r>
      <w:r>
        <w:rPr>
          <w:rFonts w:hint="eastAsia" w:ascii="仿宋_GB2312" w:hAnsi="仿宋_GB2312" w:eastAsia="仿宋_GB2312" w:cs="仿宋_GB2312"/>
          <w:b w:val="0"/>
          <w:bCs w:val="0"/>
          <w:color w:val="auto"/>
          <w:sz w:val="32"/>
          <w:szCs w:val="32"/>
          <w:lang w:val="en-US" w:eastAsia="zh-CN"/>
        </w:rPr>
        <w:t>亿多条次，在全省“双公示”信息公开评估中名列前茅。推进信用监管在金融、税务、环保等20个重点领域建立了行业信用评价分级分类监管应用制度。实现自动化联合奖惩应用，全市开展信用核查846万次，落实失信惩戒措施6000余条，守信激励措施1.82万条。</w:t>
      </w:r>
    </w:p>
    <w:p w14:paraId="534B01B5">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40"/>
          <w:lang w:val="en-US" w:eastAsia="zh-CN"/>
        </w:rPr>
      </w:pPr>
      <w:r>
        <w:rPr>
          <w:rFonts w:hint="eastAsia" w:ascii="黑体" w:hAnsi="黑体" w:eastAsia="黑体" w:cs="黑体"/>
          <w:b w:val="0"/>
          <w:bCs w:val="0"/>
          <w:sz w:val="32"/>
          <w:szCs w:val="40"/>
          <w:lang w:val="en-US" w:eastAsia="zh-CN"/>
        </w:rPr>
        <w:t>4、加强班子和队伍建设，激发干部队伍生机活力</w:t>
      </w:r>
    </w:p>
    <w:p w14:paraId="3976A687">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lang w:val="en-US" w:eastAsia="zh-CN"/>
        </w:rPr>
      </w:pPr>
      <w:r>
        <w:rPr>
          <w:rFonts w:hint="eastAsia" w:ascii="楷体" w:hAnsi="楷体" w:eastAsia="楷体" w:cs="楷体"/>
          <w:b/>
          <w:bCs/>
          <w:color w:val="auto"/>
          <w:sz w:val="32"/>
          <w:szCs w:val="32"/>
          <w:lang w:val="en-US" w:eastAsia="zh-CN"/>
        </w:rPr>
        <w:t>（1）是增强班子凝聚力。</w:t>
      </w:r>
      <w:r>
        <w:rPr>
          <w:rFonts w:hint="eastAsia" w:ascii="仿宋_GB2312" w:hAnsi="仿宋_GB2312" w:eastAsia="仿宋_GB2312" w:cs="仿宋_GB2312"/>
          <w:b w:val="0"/>
          <w:bCs w:val="0"/>
          <w:color w:val="auto"/>
          <w:sz w:val="32"/>
          <w:szCs w:val="32"/>
          <w:lang w:val="en-US" w:eastAsia="zh-CN"/>
        </w:rPr>
        <w:t>全力营造兼容并蓄、自由民主、团结协作的班子氛围，坚持科学决策、民主决策、依法决策，“三重一大”事项坚持集体研究，2024年度共召开党组会23次，共研究议题140次。</w:t>
      </w:r>
      <w:r>
        <w:rPr>
          <w:rFonts w:hint="eastAsia" w:ascii="楷体" w:hAnsi="楷体" w:eastAsia="楷体" w:cs="楷体"/>
          <w:b/>
          <w:bCs/>
          <w:color w:val="auto"/>
          <w:sz w:val="32"/>
          <w:szCs w:val="32"/>
          <w:lang w:val="en-US" w:eastAsia="zh-CN"/>
        </w:rPr>
        <w:t>（2）是规范干部选拔任用。</w:t>
      </w:r>
      <w:r>
        <w:rPr>
          <w:rFonts w:hint="eastAsia" w:ascii="仿宋_GB2312" w:hAnsi="仿宋_GB2312" w:eastAsia="仿宋_GB2312" w:cs="仿宋_GB2312"/>
          <w:b w:val="0"/>
          <w:bCs w:val="0"/>
          <w:color w:val="auto"/>
          <w:sz w:val="32"/>
          <w:szCs w:val="32"/>
          <w:lang w:val="en-US" w:eastAsia="zh-CN"/>
        </w:rPr>
        <w:t>局党组坚持把政治标准贯穿干部选拔任用全过程各方面。今年研究干部七批次，选人用人各环节均严格按规定执行。局机关及下属单位均严格按照各自“三定”方案及市委组织部核定职级职数来配备干部，未有违反机构编制规定情况。</w:t>
      </w:r>
      <w:r>
        <w:rPr>
          <w:rFonts w:hint="eastAsia" w:ascii="楷体" w:hAnsi="楷体" w:eastAsia="楷体" w:cs="楷体"/>
          <w:b/>
          <w:bCs/>
          <w:color w:val="auto"/>
          <w:sz w:val="32"/>
          <w:szCs w:val="32"/>
          <w:lang w:val="en-US" w:eastAsia="zh-CN"/>
        </w:rPr>
        <w:t>（3）是注重人才引育。</w:t>
      </w:r>
      <w:r>
        <w:rPr>
          <w:rFonts w:hint="eastAsia" w:ascii="仿宋_GB2312" w:hAnsi="仿宋_GB2312" w:eastAsia="仿宋_GB2312" w:cs="仿宋_GB2312"/>
          <w:b w:val="0"/>
          <w:bCs w:val="0"/>
          <w:color w:val="auto"/>
          <w:sz w:val="32"/>
          <w:szCs w:val="32"/>
          <w:lang w:val="en-US" w:eastAsia="zh-CN"/>
        </w:rPr>
        <w:t>将服务全市人才工作大局和推动数据人才阵地建设统筹起来，今年引进高学历人才2名到下属市大数据服务中心，转任1名引进人才到市政务服务中心、提拔1名引进人才任事业单位班子副职。从市联动处置指挥中心调整6名人员到大数据服务中心，壮大了数据工作队伍，提高人岗匹配度。</w:t>
      </w:r>
    </w:p>
    <w:p w14:paraId="311C0133">
      <w:pPr>
        <w:keepNext w:val="0"/>
        <w:keepLines w:val="0"/>
        <w:pageBreakBefore w:val="0"/>
        <w:widowControl w:val="0"/>
        <w:numPr>
          <w:ilvl w:val="0"/>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ascii="Times New Roman" w:hAnsi="Times New Roman" w:eastAsia="黑体"/>
          <w:sz w:val="32"/>
          <w:szCs w:val="32"/>
        </w:rPr>
      </w:pPr>
      <w:r>
        <w:rPr>
          <w:rFonts w:ascii="Times New Roman" w:hAnsi="Times New Roman" w:eastAsia="黑体"/>
          <w:sz w:val="32"/>
          <w:szCs w:val="32"/>
        </w:rPr>
        <w:t>七、存在的问题及原因分析</w:t>
      </w:r>
    </w:p>
    <w:p w14:paraId="306663C7">
      <w:pPr>
        <w:keepNext w:val="0"/>
        <w:keepLines w:val="0"/>
        <w:pageBreakBefore w:val="0"/>
        <w:widowControl w:val="0"/>
        <w:numPr>
          <w:ilvl w:val="0"/>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sz w:val="32"/>
          <w:szCs w:val="32"/>
          <w:lang w:eastAsia="zh-CN"/>
        </w:rPr>
      </w:pPr>
      <w:r>
        <w:rPr>
          <w:rFonts w:hint="eastAsia" w:ascii="仿宋_GB2312" w:eastAsia="仿宋_GB2312"/>
          <w:sz w:val="32"/>
          <w:szCs w:val="32"/>
        </w:rPr>
        <w:t>经分析，我局在预算执行过程中主要存在如下问题：一是监督管理机制还有待完善和加强。目前主要是通过机关党委和市纪委监委派驻市政府办纪委监委组进行监督，群众</w:t>
      </w:r>
      <w:r>
        <w:rPr>
          <w:rFonts w:hint="eastAsia" w:ascii="仿宋_GB2312" w:eastAsia="仿宋_GB2312"/>
          <w:sz w:val="32"/>
          <w:szCs w:val="32"/>
          <w:lang w:eastAsia="zh-CN"/>
        </w:rPr>
        <w:t>社会</w:t>
      </w:r>
      <w:r>
        <w:rPr>
          <w:rFonts w:hint="eastAsia" w:ascii="仿宋_GB2312" w:eastAsia="仿宋_GB2312"/>
          <w:sz w:val="32"/>
          <w:szCs w:val="32"/>
        </w:rPr>
        <w:t>参与监督不多。二是财务人员的专业水平有待提升。目前财务工作从上到下都进行了相应的改革和创新，财务要求越来越高</w:t>
      </w:r>
      <w:r>
        <w:rPr>
          <w:rFonts w:hint="eastAsia" w:ascii="仿宋_GB2312" w:eastAsia="仿宋_GB2312"/>
          <w:color w:val="auto"/>
          <w:sz w:val="32"/>
          <w:szCs w:val="32"/>
        </w:rPr>
        <w:t>，需要不断加强业务知识学习。</w:t>
      </w:r>
      <w:r>
        <w:rPr>
          <w:rFonts w:hint="eastAsia" w:ascii="仿宋_GB2312" w:hAnsi="仿宋_GB2312" w:eastAsia="仿宋_GB2312" w:cs="仿宋_GB2312"/>
          <w:bCs/>
          <w:sz w:val="32"/>
          <w:szCs w:val="32"/>
          <w:lang w:eastAsia="zh-CN"/>
        </w:rPr>
        <w:t>三是专项资金财政保障力度有待进一步加强。目前我局大部分信息化项目按建设进度和合同约定已到支付期限，但财力因素尚未拨付。</w:t>
      </w:r>
    </w:p>
    <w:p w14:paraId="70BDBAD3">
      <w:pPr>
        <w:keepNext w:val="0"/>
        <w:keepLines w:val="0"/>
        <w:pageBreakBefore w:val="0"/>
        <w:widowControl w:val="0"/>
        <w:numPr>
          <w:ilvl w:val="0"/>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eastAsia="zh-CN"/>
        </w:rPr>
        <w:t>八、</w:t>
      </w:r>
      <w:r>
        <w:rPr>
          <w:rFonts w:ascii="Times New Roman" w:hAnsi="Times New Roman" w:eastAsia="黑体" w:cs="Times New Roman"/>
          <w:sz w:val="32"/>
          <w:szCs w:val="32"/>
        </w:rPr>
        <w:t>下一步改进措施</w:t>
      </w:r>
    </w:p>
    <w:p w14:paraId="70FDFB20">
      <w:pPr>
        <w:keepNext w:val="0"/>
        <w:keepLines w:val="0"/>
        <w:pageBreakBefore w:val="0"/>
        <w:widowControl w:val="0"/>
        <w:numPr>
          <w:ilvl w:val="0"/>
          <w:numId w:val="6"/>
        </w:numPr>
        <w:pBdr>
          <w:bottom w:val="single" w:color="FFFFFF" w:sz="4" w:space="31"/>
        </w:pBdr>
        <w:tabs>
          <w:tab w:val="left" w:pos="1440"/>
        </w:tabs>
        <w:kinsoku/>
        <w:wordWrap/>
        <w:overflowPunct w:val="0"/>
        <w:topLinePunct w:val="0"/>
        <w:autoSpaceDE/>
        <w:autoSpaceDN/>
        <w:bidi w:val="0"/>
        <w:adjustRightInd/>
        <w:snapToGrid/>
        <w:spacing w:line="600" w:lineRule="exact"/>
        <w:ind w:firstLine="960" w:firstLineChars="300"/>
        <w:textAlignment w:val="auto"/>
        <w:rPr>
          <w:rFonts w:hint="eastAsia" w:ascii="仿宋_GB2312" w:eastAsia="仿宋_GB2312"/>
          <w:sz w:val="32"/>
          <w:szCs w:val="32"/>
        </w:rPr>
      </w:pPr>
      <w:r>
        <w:rPr>
          <w:rFonts w:hint="eastAsia" w:ascii="仿宋_GB2312" w:eastAsia="仿宋_GB2312"/>
          <w:sz w:val="32"/>
          <w:szCs w:val="32"/>
        </w:rPr>
        <w:t>是加强财务监管，通过购买第三方机构内控和绩效管理服务，引导群众参与监督等措施，进一步做好内控和监督工作。</w:t>
      </w:r>
    </w:p>
    <w:p w14:paraId="40ACA698">
      <w:pPr>
        <w:keepNext w:val="0"/>
        <w:keepLines w:val="0"/>
        <w:pageBreakBefore w:val="0"/>
        <w:widowControl w:val="0"/>
        <w:numPr>
          <w:ilvl w:val="0"/>
          <w:numId w:val="6"/>
        </w:numPr>
        <w:pBdr>
          <w:bottom w:val="single" w:color="FFFFFF" w:sz="4" w:space="31"/>
        </w:pBdr>
        <w:tabs>
          <w:tab w:val="left" w:pos="1440"/>
        </w:tabs>
        <w:kinsoku/>
        <w:wordWrap/>
        <w:overflowPunct w:val="0"/>
        <w:topLinePunct w:val="0"/>
        <w:autoSpaceDE/>
        <w:autoSpaceDN/>
        <w:bidi w:val="0"/>
        <w:adjustRightInd/>
        <w:snapToGrid/>
        <w:spacing w:line="600" w:lineRule="exact"/>
        <w:ind w:left="0" w:leftChars="0" w:firstLine="960" w:firstLineChars="300"/>
        <w:textAlignment w:val="auto"/>
        <w:rPr>
          <w:rFonts w:hint="eastAsia" w:ascii="仿宋_GB2312" w:eastAsia="仿宋_GB2312"/>
          <w:sz w:val="32"/>
          <w:szCs w:val="32"/>
        </w:rPr>
      </w:pPr>
      <w:r>
        <w:rPr>
          <w:rFonts w:hint="eastAsia" w:ascii="仿宋_GB2312" w:eastAsia="仿宋_GB2312"/>
          <w:sz w:val="32"/>
          <w:szCs w:val="32"/>
        </w:rPr>
        <w:t>是严格按财务制度办事，提升财务人员专业水平。财务工作人员的业务能力要与时俱进，不断加强学习，市财政局多组织业务方面的理论培训和实操训练。在具体工作中要按财务制度、财经纪律规范开支。</w:t>
      </w:r>
    </w:p>
    <w:p w14:paraId="1D345DAA">
      <w:pPr>
        <w:keepNext w:val="0"/>
        <w:keepLines w:val="0"/>
        <w:pageBreakBefore w:val="0"/>
        <w:widowControl w:val="0"/>
        <w:numPr>
          <w:ilvl w:val="0"/>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960" w:firstLineChars="300"/>
        <w:textAlignment w:val="auto"/>
        <w:rPr>
          <w:rFonts w:hint="eastAsia" w:ascii="仿宋" w:hAnsi="仿宋" w:eastAsia="仿宋" w:cs="宋体"/>
          <w:color w:val="auto"/>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是</w:t>
      </w:r>
      <w:r>
        <w:rPr>
          <w:rFonts w:hint="eastAsia" w:ascii="仿宋_GB2312" w:hAnsi="Times New Roman" w:eastAsia="仿宋_GB2312" w:cs="Times New Roman"/>
          <w:sz w:val="32"/>
          <w:szCs w:val="32"/>
          <w:lang w:val="en-US" w:eastAsia="zh-CN"/>
        </w:rPr>
        <w:t>加大专项工作财力保障力度</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将部分需定期支付的信息化项目纳入预算内，</w:t>
      </w:r>
      <w:r>
        <w:rPr>
          <w:rFonts w:hint="eastAsia" w:ascii="仿宋" w:hAnsi="仿宋" w:eastAsia="仿宋" w:cs="宋体"/>
          <w:color w:val="auto"/>
          <w:sz w:val="32"/>
          <w:szCs w:val="32"/>
        </w:rPr>
        <w:t>争取省政府支持，加大专项工作经费投入，减少资金缺口，确保专项工作开展、专款专用</w:t>
      </w:r>
      <w:r>
        <w:rPr>
          <w:rFonts w:hint="eastAsia" w:ascii="仿宋" w:hAnsi="仿宋" w:eastAsia="仿宋" w:cs="宋体"/>
          <w:color w:val="auto"/>
          <w:sz w:val="32"/>
          <w:szCs w:val="32"/>
          <w:lang w:eastAsia="zh-CN"/>
        </w:rPr>
        <w:t>。</w:t>
      </w:r>
    </w:p>
    <w:p w14:paraId="7B4E6E2A">
      <w:pPr>
        <w:keepNext w:val="0"/>
        <w:keepLines w:val="0"/>
        <w:pageBreakBefore w:val="0"/>
        <w:widowControl w:val="0"/>
        <w:numPr>
          <w:ilvl w:val="0"/>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九、部门整体支出绩效自评结果拟应用和公开情况</w:t>
      </w:r>
    </w:p>
    <w:p w14:paraId="696787F4">
      <w:pPr>
        <w:keepNext w:val="0"/>
        <w:keepLines w:val="0"/>
        <w:pageBreakBefore w:val="0"/>
        <w:widowControl w:val="0"/>
        <w:numPr>
          <w:ilvl w:val="0"/>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hint="eastAsia" w:ascii="仿宋_GB2312"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我局在进行整体支出绩效自评后，对照自身存在的不足，进行相应的改正，并且严格按照财政局要求在相应网站上将部门整体支出绩效自评结果进行公开，接受社会监督</w:t>
      </w:r>
      <w:r>
        <w:rPr>
          <w:rFonts w:hint="eastAsia" w:ascii="仿宋_GB2312" w:eastAsia="仿宋_GB2312" w:cs="Times New Roman"/>
          <w:kern w:val="2"/>
          <w:sz w:val="32"/>
          <w:szCs w:val="32"/>
          <w:lang w:val="en-US" w:eastAsia="zh-CN" w:bidi="ar-SA"/>
        </w:rPr>
        <w:t xml:space="preserve">。                </w:t>
      </w:r>
    </w:p>
    <w:p w14:paraId="390E1D76">
      <w:pPr>
        <w:keepNext w:val="0"/>
        <w:keepLines w:val="0"/>
        <w:pageBreakBefore w:val="0"/>
        <w:widowControl w:val="0"/>
        <w:numPr>
          <w:ilvl w:val="0"/>
          <w:numId w:val="7"/>
        </w:numPr>
        <w:pBdr>
          <w:bottom w:val="single" w:color="FFFFFF" w:sz="4" w:space="31"/>
        </w:pBdr>
        <w:tabs>
          <w:tab w:val="left" w:pos="1440"/>
        </w:tabs>
        <w:kinsoku/>
        <w:wordWrap/>
        <w:overflowPunct w:val="0"/>
        <w:topLinePunct w:val="0"/>
        <w:autoSpaceDE/>
        <w:autoSpaceDN/>
        <w:bidi w:val="0"/>
        <w:adjustRightInd/>
        <w:snapToGrid/>
        <w:spacing w:line="600" w:lineRule="exact"/>
        <w:ind w:firstLine="640" w:firstLineChars="200"/>
        <w:textAlignment w:val="auto"/>
        <w:rPr>
          <w:rFonts w:hint="eastAsia" w:eastAsia="黑体"/>
          <w:sz w:val="32"/>
          <w:szCs w:val="32"/>
          <w:lang w:val="en-US" w:eastAsia="zh-CN"/>
        </w:rPr>
      </w:pPr>
      <w:r>
        <w:rPr>
          <w:rFonts w:eastAsia="黑体"/>
          <w:sz w:val="32"/>
          <w:szCs w:val="32"/>
        </w:rPr>
        <w:t>其他需要说明的情况</w:t>
      </w:r>
      <w:r>
        <w:rPr>
          <w:rFonts w:hint="eastAsia" w:eastAsia="黑体"/>
          <w:sz w:val="32"/>
          <w:szCs w:val="32"/>
          <w:lang w:val="en-US" w:eastAsia="zh-CN"/>
        </w:rPr>
        <w:t xml:space="preserve"> </w:t>
      </w:r>
    </w:p>
    <w:p w14:paraId="29A1B79D">
      <w:pPr>
        <w:keepNext w:val="0"/>
        <w:keepLines w:val="0"/>
        <w:pageBreakBefore w:val="0"/>
        <w:widowControl w:val="0"/>
        <w:numPr>
          <w:ilvl w:val="0"/>
          <w:numId w:val="0"/>
        </w:numPr>
        <w:pBdr>
          <w:bottom w:val="single" w:color="FFFFFF" w:sz="4" w:space="31"/>
        </w:pBdr>
        <w:tabs>
          <w:tab w:val="left" w:pos="1440"/>
        </w:tabs>
        <w:kinsoku/>
        <w:wordWrap/>
        <w:overflowPunct w:val="0"/>
        <w:topLinePunct w:val="0"/>
        <w:autoSpaceDE/>
        <w:autoSpaceDN/>
        <w:bidi w:val="0"/>
        <w:adjustRightInd/>
        <w:snapToGrid/>
        <w:spacing w:line="600" w:lineRule="exact"/>
        <w:ind w:firstLine="1280" w:firstLineChars="400"/>
        <w:textAlignment w:val="auto"/>
        <w:rPr>
          <w:rFonts w:eastAsia="黑体"/>
          <w:sz w:val="32"/>
          <w:szCs w:val="32"/>
        </w:rPr>
      </w:pPr>
      <w:r>
        <w:rPr>
          <w:rFonts w:hint="eastAsia" w:eastAsia="黑体"/>
          <w:sz w:val="32"/>
          <w:szCs w:val="32"/>
          <w:lang w:val="en-US" w:eastAsia="zh-CN"/>
        </w:rPr>
        <w:t xml:space="preserve"> </w:t>
      </w:r>
      <w:r>
        <w:rPr>
          <w:rFonts w:hint="eastAsia" w:ascii="仿宋_GB2312" w:hAnsi="Times New Roman" w:eastAsia="仿宋_GB2312" w:cs="Times New Roman"/>
          <w:kern w:val="2"/>
          <w:sz w:val="32"/>
          <w:szCs w:val="32"/>
          <w:lang w:val="en-US" w:eastAsia="zh-CN" w:bidi="ar-SA"/>
        </w:rPr>
        <w:t>无</w:t>
      </w:r>
    </w:p>
    <w:p w14:paraId="30AC5E35">
      <w:pPr>
        <w:pStyle w:val="16"/>
        <w:jc w:val="center"/>
        <w:rPr>
          <w:rFonts w:hint="eastAsia" w:ascii="方正小标宋_GBK" w:hAnsi="方正小标宋_GBK" w:eastAsia="方正小标宋_GBK" w:cs="方正小标宋_GBK"/>
          <w:sz w:val="70"/>
          <w:szCs w:val="70"/>
          <w:lang w:eastAsia="zh-CN"/>
        </w:rPr>
      </w:pPr>
    </w:p>
    <w:p w14:paraId="6543D286">
      <w:pPr>
        <w:pStyle w:val="16"/>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b/>
          <w:bCs/>
          <w:color w:val="FF0000"/>
          <w:kern w:val="0"/>
          <w:sz w:val="32"/>
          <w:szCs w:val="32"/>
          <w:lang w:val="en-US" w:eastAsia="zh-CN" w:bidi="ar-SA"/>
        </w:rPr>
      </w:pPr>
    </w:p>
    <w:p w14:paraId="60BB2043">
      <w:pPr>
        <w:pStyle w:val="16"/>
        <w:keepNext w:val="0"/>
        <w:keepLines w:val="0"/>
        <w:pageBreakBefore w:val="0"/>
        <w:widowControl w:val="0"/>
        <w:kinsoku/>
        <w:wordWrap/>
        <w:overflowPunct/>
        <w:topLinePunct w:val="0"/>
        <w:bidi w:val="0"/>
        <w:snapToGrid/>
        <w:spacing w:line="600" w:lineRule="exact"/>
        <w:jc w:val="both"/>
        <w:textAlignment w:val="auto"/>
        <w:rPr>
          <w:rFonts w:hint="eastAsia" w:ascii="Times New Roman" w:hAnsi="Times New Roman" w:eastAsia="仿宋_GB2312" w:cs="黑体"/>
          <w:b/>
          <w:bCs/>
          <w:color w:val="FF0000"/>
          <w:kern w:val="0"/>
          <w:sz w:val="36"/>
          <w:szCs w:val="36"/>
          <w:lang w:val="en-US" w:eastAsia="zh-CN" w:bidi="ar-SA"/>
        </w:rPr>
      </w:pPr>
    </w:p>
    <w:sectPr>
      <w:pgSz w:w="11906" w:h="16838"/>
      <w:pgMar w:top="1417" w:right="1587" w:bottom="1417" w:left="1587" w:header="851" w:footer="992" w:gutter="0"/>
      <w:cols w:space="0" w:num="1"/>
      <w:rtlGutter w:val="0"/>
      <w:docGrid w:type="linesAndChar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永中宋体">
    <w:altName w:val="宋体"/>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6A5F9">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804850"/>
    <w:multiLevelType w:val="singleLevel"/>
    <w:tmpl w:val="9F804850"/>
    <w:lvl w:ilvl="0" w:tentative="0">
      <w:start w:val="4"/>
      <w:numFmt w:val="chineseCounting"/>
      <w:suff w:val="nothing"/>
      <w:lvlText w:val="%1、"/>
      <w:lvlJc w:val="left"/>
      <w:rPr>
        <w:rFonts w:hint="eastAsia"/>
      </w:rPr>
    </w:lvl>
  </w:abstractNum>
  <w:abstractNum w:abstractNumId="1">
    <w:nsid w:val="A7FC2585"/>
    <w:multiLevelType w:val="singleLevel"/>
    <w:tmpl w:val="A7FC2585"/>
    <w:lvl w:ilvl="0" w:tentative="0">
      <w:start w:val="2"/>
      <w:numFmt w:val="chineseCounting"/>
      <w:suff w:val="nothing"/>
      <w:lvlText w:val="（%1）"/>
      <w:lvlJc w:val="left"/>
      <w:rPr>
        <w:rFonts w:hint="eastAsia"/>
      </w:rPr>
    </w:lvl>
  </w:abstractNum>
  <w:abstractNum w:abstractNumId="2">
    <w:nsid w:val="EFB36017"/>
    <w:multiLevelType w:val="singleLevel"/>
    <w:tmpl w:val="EFB36017"/>
    <w:lvl w:ilvl="0" w:tentative="0">
      <w:start w:val="7"/>
      <w:numFmt w:val="chineseCounting"/>
      <w:suff w:val="nothing"/>
      <w:lvlText w:val="%1、"/>
      <w:lvlJc w:val="left"/>
      <w:rPr>
        <w:rFonts w:hint="eastAsia"/>
      </w:rPr>
    </w:lvl>
  </w:abstractNum>
  <w:abstractNum w:abstractNumId="3">
    <w:nsid w:val="3BA6746C"/>
    <w:multiLevelType w:val="singleLevel"/>
    <w:tmpl w:val="3BA6746C"/>
    <w:lvl w:ilvl="0" w:tentative="0">
      <w:start w:val="4"/>
      <w:numFmt w:val="decimal"/>
      <w:suff w:val="nothing"/>
      <w:lvlText w:val="%1、"/>
      <w:lvlJc w:val="left"/>
    </w:lvl>
  </w:abstractNum>
  <w:abstractNum w:abstractNumId="4">
    <w:nsid w:val="5428615F"/>
    <w:multiLevelType w:val="singleLevel"/>
    <w:tmpl w:val="5428615F"/>
    <w:lvl w:ilvl="0" w:tentative="0">
      <w:start w:val="1"/>
      <w:numFmt w:val="chineseCounting"/>
      <w:suff w:val="nothing"/>
      <w:lvlText w:val="（%1）"/>
      <w:lvlJc w:val="left"/>
      <w:rPr>
        <w:rFonts w:hint="eastAsia"/>
      </w:rPr>
    </w:lvl>
  </w:abstractNum>
  <w:abstractNum w:abstractNumId="5">
    <w:nsid w:val="63416DE2"/>
    <w:multiLevelType w:val="singleLevel"/>
    <w:tmpl w:val="63416DE2"/>
    <w:lvl w:ilvl="0" w:tentative="0">
      <w:start w:val="1"/>
      <w:numFmt w:val="chineseCounting"/>
      <w:suff w:val="space"/>
      <w:lvlText w:val="（%1）"/>
      <w:lvlJc w:val="left"/>
      <w:rPr>
        <w:rFonts w:hint="eastAsia"/>
      </w:rPr>
    </w:lvl>
  </w:abstractNum>
  <w:abstractNum w:abstractNumId="6">
    <w:nsid w:val="746D5480"/>
    <w:multiLevelType w:val="singleLevel"/>
    <w:tmpl w:val="746D5480"/>
    <w:lvl w:ilvl="0" w:tentative="0">
      <w:start w:val="10"/>
      <w:numFmt w:val="chineseCounting"/>
      <w:suff w:val="nothing"/>
      <w:lvlText w:val="%1、"/>
      <w:lvlJc w:val="left"/>
      <w:rPr>
        <w:rFonts w:hint="eastAsia"/>
      </w:rPr>
    </w:lvl>
  </w:abstractNum>
  <w:num w:numId="1">
    <w:abstractNumId w:val="5"/>
  </w:num>
  <w:num w:numId="2">
    <w:abstractNumId w:val="3"/>
  </w:num>
  <w:num w:numId="3">
    <w:abstractNumId w:val="2"/>
  </w:num>
  <w:num w:numId="4">
    <w:abstractNumId w:val="1"/>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yZjJlMWZhZTg0NTNkODYxZDYxYTcwZmQ0MmE2YT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27CB1"/>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C4D2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0453A"/>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67398B"/>
    <w:rsid w:val="01AA3877"/>
    <w:rsid w:val="029629E9"/>
    <w:rsid w:val="032B6C3A"/>
    <w:rsid w:val="04221DEB"/>
    <w:rsid w:val="047563BF"/>
    <w:rsid w:val="047A1C27"/>
    <w:rsid w:val="047B04DC"/>
    <w:rsid w:val="04D53301"/>
    <w:rsid w:val="050414F1"/>
    <w:rsid w:val="050A0754"/>
    <w:rsid w:val="053C512E"/>
    <w:rsid w:val="06DC0977"/>
    <w:rsid w:val="078B7CA7"/>
    <w:rsid w:val="07F92E63"/>
    <w:rsid w:val="086230FE"/>
    <w:rsid w:val="08C96CD9"/>
    <w:rsid w:val="08E25FED"/>
    <w:rsid w:val="0A3E7253"/>
    <w:rsid w:val="0AD55E09"/>
    <w:rsid w:val="0AE21976"/>
    <w:rsid w:val="0AF3003D"/>
    <w:rsid w:val="0B7C073E"/>
    <w:rsid w:val="0BAB0918"/>
    <w:rsid w:val="0BEE7CFD"/>
    <w:rsid w:val="0C082597"/>
    <w:rsid w:val="0C1B5A9E"/>
    <w:rsid w:val="0CDB347F"/>
    <w:rsid w:val="0D6F3D3F"/>
    <w:rsid w:val="0D7F205C"/>
    <w:rsid w:val="0DA25129"/>
    <w:rsid w:val="0DAB10A3"/>
    <w:rsid w:val="0DC25C1D"/>
    <w:rsid w:val="0DE10621"/>
    <w:rsid w:val="0DFA16E3"/>
    <w:rsid w:val="0E6A4ABA"/>
    <w:rsid w:val="0E7B0661"/>
    <w:rsid w:val="0EB83A78"/>
    <w:rsid w:val="0ED55496"/>
    <w:rsid w:val="0F2E736C"/>
    <w:rsid w:val="10822D43"/>
    <w:rsid w:val="10B94166"/>
    <w:rsid w:val="11A72251"/>
    <w:rsid w:val="11D02E86"/>
    <w:rsid w:val="12B72298"/>
    <w:rsid w:val="12D20E80"/>
    <w:rsid w:val="13263590"/>
    <w:rsid w:val="13882A18"/>
    <w:rsid w:val="13D458F0"/>
    <w:rsid w:val="141E50C9"/>
    <w:rsid w:val="148E0DD7"/>
    <w:rsid w:val="14AA3E63"/>
    <w:rsid w:val="14BB6070"/>
    <w:rsid w:val="15C7386F"/>
    <w:rsid w:val="15DF5D8E"/>
    <w:rsid w:val="15FA4976"/>
    <w:rsid w:val="165412E7"/>
    <w:rsid w:val="165F4CB3"/>
    <w:rsid w:val="168801D3"/>
    <w:rsid w:val="16FB7986"/>
    <w:rsid w:val="17102905"/>
    <w:rsid w:val="171B1048"/>
    <w:rsid w:val="17582776"/>
    <w:rsid w:val="17B51E40"/>
    <w:rsid w:val="18AD22E9"/>
    <w:rsid w:val="18D63D48"/>
    <w:rsid w:val="190A3122"/>
    <w:rsid w:val="1914347F"/>
    <w:rsid w:val="19B71113"/>
    <w:rsid w:val="19FB22BA"/>
    <w:rsid w:val="1A0E3AB4"/>
    <w:rsid w:val="1B50328A"/>
    <w:rsid w:val="1B9E0A03"/>
    <w:rsid w:val="1C321B2D"/>
    <w:rsid w:val="1C542906"/>
    <w:rsid w:val="1D1207F7"/>
    <w:rsid w:val="1D4110DC"/>
    <w:rsid w:val="1D8E4E63"/>
    <w:rsid w:val="1DE06B47"/>
    <w:rsid w:val="1E0D658A"/>
    <w:rsid w:val="1E721B0C"/>
    <w:rsid w:val="1F0C1276"/>
    <w:rsid w:val="1F5F60B6"/>
    <w:rsid w:val="1FE251D3"/>
    <w:rsid w:val="20126062"/>
    <w:rsid w:val="203B66A0"/>
    <w:rsid w:val="20515ADA"/>
    <w:rsid w:val="21843C8D"/>
    <w:rsid w:val="219051CD"/>
    <w:rsid w:val="220F58C2"/>
    <w:rsid w:val="222319C3"/>
    <w:rsid w:val="225A032F"/>
    <w:rsid w:val="227B0BEC"/>
    <w:rsid w:val="234B3323"/>
    <w:rsid w:val="239D6DA0"/>
    <w:rsid w:val="23A7445B"/>
    <w:rsid w:val="23C860B3"/>
    <w:rsid w:val="23FF13A9"/>
    <w:rsid w:val="245D1763"/>
    <w:rsid w:val="24B623B0"/>
    <w:rsid w:val="25545725"/>
    <w:rsid w:val="256E4A38"/>
    <w:rsid w:val="27186EA9"/>
    <w:rsid w:val="27856069"/>
    <w:rsid w:val="27EE373E"/>
    <w:rsid w:val="27F337A4"/>
    <w:rsid w:val="28122BAD"/>
    <w:rsid w:val="282615FA"/>
    <w:rsid w:val="283536C5"/>
    <w:rsid w:val="283755B5"/>
    <w:rsid w:val="28B24F80"/>
    <w:rsid w:val="290851A4"/>
    <w:rsid w:val="292D27EB"/>
    <w:rsid w:val="29F70417"/>
    <w:rsid w:val="2AED63FF"/>
    <w:rsid w:val="2AFB4FC0"/>
    <w:rsid w:val="2B3B716B"/>
    <w:rsid w:val="2B943DE0"/>
    <w:rsid w:val="2BE9496F"/>
    <w:rsid w:val="2BFE6E09"/>
    <w:rsid w:val="2C416A03"/>
    <w:rsid w:val="2C4B798C"/>
    <w:rsid w:val="2D1227E2"/>
    <w:rsid w:val="2D594220"/>
    <w:rsid w:val="2FDB53C0"/>
    <w:rsid w:val="305C34E6"/>
    <w:rsid w:val="30AC6769"/>
    <w:rsid w:val="30C67815"/>
    <w:rsid w:val="31490108"/>
    <w:rsid w:val="314C5204"/>
    <w:rsid w:val="31774C75"/>
    <w:rsid w:val="319E0088"/>
    <w:rsid w:val="32AC4DF2"/>
    <w:rsid w:val="335055B1"/>
    <w:rsid w:val="340071A3"/>
    <w:rsid w:val="34043AD5"/>
    <w:rsid w:val="3425795C"/>
    <w:rsid w:val="343A0FC0"/>
    <w:rsid w:val="344457DA"/>
    <w:rsid w:val="344B2247"/>
    <w:rsid w:val="34B166F0"/>
    <w:rsid w:val="34BD5094"/>
    <w:rsid w:val="351E0FBF"/>
    <w:rsid w:val="36533F02"/>
    <w:rsid w:val="36745C27"/>
    <w:rsid w:val="36DA1F2E"/>
    <w:rsid w:val="378D6FA0"/>
    <w:rsid w:val="37E75E0E"/>
    <w:rsid w:val="38327B47"/>
    <w:rsid w:val="386D5023"/>
    <w:rsid w:val="38D86941"/>
    <w:rsid w:val="39275528"/>
    <w:rsid w:val="39495149"/>
    <w:rsid w:val="397C3770"/>
    <w:rsid w:val="39A214A0"/>
    <w:rsid w:val="39AA4C17"/>
    <w:rsid w:val="3A263E74"/>
    <w:rsid w:val="3AF630AE"/>
    <w:rsid w:val="3BD50F16"/>
    <w:rsid w:val="3C096E11"/>
    <w:rsid w:val="3D792D3C"/>
    <w:rsid w:val="3DBB5757"/>
    <w:rsid w:val="3DBB7565"/>
    <w:rsid w:val="3E1F291C"/>
    <w:rsid w:val="3E500D27"/>
    <w:rsid w:val="3ED862C8"/>
    <w:rsid w:val="3FEC0F24"/>
    <w:rsid w:val="3FFB2F15"/>
    <w:rsid w:val="40224945"/>
    <w:rsid w:val="4081166C"/>
    <w:rsid w:val="40A610D2"/>
    <w:rsid w:val="40F845A5"/>
    <w:rsid w:val="4111083D"/>
    <w:rsid w:val="41D230F5"/>
    <w:rsid w:val="41DC5711"/>
    <w:rsid w:val="423D7815"/>
    <w:rsid w:val="42565831"/>
    <w:rsid w:val="428E62C2"/>
    <w:rsid w:val="429B28C0"/>
    <w:rsid w:val="43077F4B"/>
    <w:rsid w:val="44052AA3"/>
    <w:rsid w:val="442C432A"/>
    <w:rsid w:val="44C22EBB"/>
    <w:rsid w:val="44CD5A9F"/>
    <w:rsid w:val="45101210"/>
    <w:rsid w:val="452B694D"/>
    <w:rsid w:val="45D65FB6"/>
    <w:rsid w:val="463B050F"/>
    <w:rsid w:val="46611C5D"/>
    <w:rsid w:val="4689127A"/>
    <w:rsid w:val="473A07C7"/>
    <w:rsid w:val="47590C4D"/>
    <w:rsid w:val="47625049"/>
    <w:rsid w:val="477409A8"/>
    <w:rsid w:val="477A6156"/>
    <w:rsid w:val="478A34FC"/>
    <w:rsid w:val="47FD3CCE"/>
    <w:rsid w:val="48A51C70"/>
    <w:rsid w:val="4A9E4F83"/>
    <w:rsid w:val="4B02564D"/>
    <w:rsid w:val="4B047121"/>
    <w:rsid w:val="4B183DBB"/>
    <w:rsid w:val="4B201A81"/>
    <w:rsid w:val="4B475260"/>
    <w:rsid w:val="4B9F36B3"/>
    <w:rsid w:val="4BCE772F"/>
    <w:rsid w:val="4CEE389A"/>
    <w:rsid w:val="4CFE069C"/>
    <w:rsid w:val="4D662315"/>
    <w:rsid w:val="4D69464E"/>
    <w:rsid w:val="4DB210B7"/>
    <w:rsid w:val="4E031912"/>
    <w:rsid w:val="4E6B74B7"/>
    <w:rsid w:val="4ED80E18"/>
    <w:rsid w:val="4F304531"/>
    <w:rsid w:val="4F376450"/>
    <w:rsid w:val="4FC125BA"/>
    <w:rsid w:val="502B5150"/>
    <w:rsid w:val="51E34FBA"/>
    <w:rsid w:val="52374280"/>
    <w:rsid w:val="52946FDD"/>
    <w:rsid w:val="52CB6777"/>
    <w:rsid w:val="52E73C61"/>
    <w:rsid w:val="533B38FC"/>
    <w:rsid w:val="554B7041"/>
    <w:rsid w:val="55823A64"/>
    <w:rsid w:val="55AF05D2"/>
    <w:rsid w:val="564231F4"/>
    <w:rsid w:val="564832D1"/>
    <w:rsid w:val="56735AC3"/>
    <w:rsid w:val="56FE35BF"/>
    <w:rsid w:val="56FE536D"/>
    <w:rsid w:val="5777D4F5"/>
    <w:rsid w:val="581B3CFC"/>
    <w:rsid w:val="5886386C"/>
    <w:rsid w:val="589570CB"/>
    <w:rsid w:val="58CD3249"/>
    <w:rsid w:val="58F92AD4"/>
    <w:rsid w:val="59AC5554"/>
    <w:rsid w:val="59FD5A9E"/>
    <w:rsid w:val="5A137381"/>
    <w:rsid w:val="5A3A79E8"/>
    <w:rsid w:val="5A3B0686"/>
    <w:rsid w:val="5AA11472"/>
    <w:rsid w:val="5AE107FB"/>
    <w:rsid w:val="5B0F5D9A"/>
    <w:rsid w:val="5C6507D2"/>
    <w:rsid w:val="5CC04E72"/>
    <w:rsid w:val="5D526412"/>
    <w:rsid w:val="5D740137"/>
    <w:rsid w:val="5DD60DF1"/>
    <w:rsid w:val="5E3D2C1E"/>
    <w:rsid w:val="5EBD5B0D"/>
    <w:rsid w:val="5ED57CA3"/>
    <w:rsid w:val="5F100333"/>
    <w:rsid w:val="5F3F6522"/>
    <w:rsid w:val="5F64242D"/>
    <w:rsid w:val="5F7206A6"/>
    <w:rsid w:val="5FC6BB1E"/>
    <w:rsid w:val="5FE13A7D"/>
    <w:rsid w:val="5FF720F1"/>
    <w:rsid w:val="5FFD7DE8"/>
    <w:rsid w:val="60554C43"/>
    <w:rsid w:val="60602BF4"/>
    <w:rsid w:val="60912FB3"/>
    <w:rsid w:val="609F1B4C"/>
    <w:rsid w:val="616109D2"/>
    <w:rsid w:val="623103B6"/>
    <w:rsid w:val="624327CD"/>
    <w:rsid w:val="62880512"/>
    <w:rsid w:val="62EF1905"/>
    <w:rsid w:val="645E7238"/>
    <w:rsid w:val="648B3FB8"/>
    <w:rsid w:val="65046244"/>
    <w:rsid w:val="654241CF"/>
    <w:rsid w:val="65510C5B"/>
    <w:rsid w:val="65B04F76"/>
    <w:rsid w:val="65C9550E"/>
    <w:rsid w:val="66236B9E"/>
    <w:rsid w:val="666845B1"/>
    <w:rsid w:val="668A0DFC"/>
    <w:rsid w:val="66A933C3"/>
    <w:rsid w:val="67017D47"/>
    <w:rsid w:val="671D3532"/>
    <w:rsid w:val="67513297"/>
    <w:rsid w:val="67BA52E0"/>
    <w:rsid w:val="67F178E9"/>
    <w:rsid w:val="69557EF4"/>
    <w:rsid w:val="6A2E3D63"/>
    <w:rsid w:val="6A730DAD"/>
    <w:rsid w:val="6A905686"/>
    <w:rsid w:val="6BDC0AE0"/>
    <w:rsid w:val="6C215724"/>
    <w:rsid w:val="6C5B6B6F"/>
    <w:rsid w:val="6D453338"/>
    <w:rsid w:val="6E4476B1"/>
    <w:rsid w:val="6E4644C8"/>
    <w:rsid w:val="6E5A3E2A"/>
    <w:rsid w:val="6E8B3D8C"/>
    <w:rsid w:val="6E9A5523"/>
    <w:rsid w:val="6EBE07DA"/>
    <w:rsid w:val="6EE449F0"/>
    <w:rsid w:val="6F6A3147"/>
    <w:rsid w:val="6F6B010C"/>
    <w:rsid w:val="700C0EC6"/>
    <w:rsid w:val="704F058F"/>
    <w:rsid w:val="70A95AA7"/>
    <w:rsid w:val="71931FAF"/>
    <w:rsid w:val="71FE226D"/>
    <w:rsid w:val="730E4732"/>
    <w:rsid w:val="731F693F"/>
    <w:rsid w:val="73723EC4"/>
    <w:rsid w:val="737D59BA"/>
    <w:rsid w:val="73C746B0"/>
    <w:rsid w:val="73E42497"/>
    <w:rsid w:val="74532196"/>
    <w:rsid w:val="74675E1D"/>
    <w:rsid w:val="748E5B2A"/>
    <w:rsid w:val="74AE3AD6"/>
    <w:rsid w:val="74DD43BC"/>
    <w:rsid w:val="752B15CB"/>
    <w:rsid w:val="759251A6"/>
    <w:rsid w:val="764D731F"/>
    <w:rsid w:val="77195BE7"/>
    <w:rsid w:val="77955421"/>
    <w:rsid w:val="779C230C"/>
    <w:rsid w:val="779C67B0"/>
    <w:rsid w:val="77C37683"/>
    <w:rsid w:val="77FD093D"/>
    <w:rsid w:val="7846636C"/>
    <w:rsid w:val="78CF04BF"/>
    <w:rsid w:val="78E62595"/>
    <w:rsid w:val="79527043"/>
    <w:rsid w:val="79C2046E"/>
    <w:rsid w:val="79D06B4D"/>
    <w:rsid w:val="79FF515B"/>
    <w:rsid w:val="7A0A6111"/>
    <w:rsid w:val="7A344A7E"/>
    <w:rsid w:val="7A6301DE"/>
    <w:rsid w:val="7A910122"/>
    <w:rsid w:val="7B0A026D"/>
    <w:rsid w:val="7B275BDA"/>
    <w:rsid w:val="7B3A2568"/>
    <w:rsid w:val="7B3C0229"/>
    <w:rsid w:val="7B854078"/>
    <w:rsid w:val="7B8A389C"/>
    <w:rsid w:val="7BDE3AD1"/>
    <w:rsid w:val="7C38637B"/>
    <w:rsid w:val="7CCB1235"/>
    <w:rsid w:val="7D4F6073"/>
    <w:rsid w:val="7D6B0E99"/>
    <w:rsid w:val="7D9FC288"/>
    <w:rsid w:val="7DC720AD"/>
    <w:rsid w:val="7E9F11B4"/>
    <w:rsid w:val="7EB10D93"/>
    <w:rsid w:val="7EC00FD6"/>
    <w:rsid w:val="7F596D35"/>
    <w:rsid w:val="7F774E4E"/>
    <w:rsid w:val="7FC69637"/>
    <w:rsid w:val="7FFDB408"/>
    <w:rsid w:val="CBFF70E0"/>
    <w:rsid w:val="EEABED75"/>
    <w:rsid w:val="FB36E1A6"/>
    <w:rsid w:val="FFFF1C8B"/>
    <w:rsid w:val="FFFFF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widowControl w:val="0"/>
      <w:spacing w:before="0" w:after="120"/>
      <w:ind w:left="0" w:right="0"/>
      <w:jc w:val="both"/>
    </w:pPr>
    <w:rPr>
      <w:rFonts w:ascii="Calibri" w:hAnsi="Calibri" w:eastAsia="楷体_GB2312" w:cs="永中宋体"/>
      <w:kern w:val="0"/>
      <w:sz w:val="20"/>
      <w:szCs w:val="20"/>
      <w:lang w:val="en-US" w:eastAsia="zh-CN" w:bidi="ar-SA"/>
    </w:rPr>
  </w:style>
  <w:style w:type="paragraph" w:styleId="3">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Indent"/>
    <w:basedOn w:val="1"/>
    <w:qFormat/>
    <w:uiPriority w:val="0"/>
    <w:pPr>
      <w:ind w:firstLine="567"/>
    </w:pPr>
  </w:style>
  <w:style w:type="paragraph" w:styleId="5">
    <w:name w:val="index 5"/>
    <w:basedOn w:val="1"/>
    <w:next w:val="1"/>
    <w:qFormat/>
    <w:uiPriority w:val="0"/>
    <w:pPr>
      <w:ind w:left="1680"/>
    </w:pPr>
  </w:style>
  <w:style w:type="paragraph" w:styleId="6">
    <w:name w:val="Body Text Indent"/>
    <w:basedOn w:val="1"/>
    <w:next w:val="7"/>
    <w:unhideWhenUsed/>
    <w:qFormat/>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unhideWhenUsed/>
    <w:qFormat/>
    <w:uiPriority w:val="99"/>
    <w:pPr>
      <w:ind w:firstLine="420" w:firstLineChars="200"/>
    </w:pPr>
  </w:style>
  <w:style w:type="paragraph" w:styleId="8">
    <w:name w:val="toc 5"/>
    <w:basedOn w:val="1"/>
    <w:next w:val="1"/>
    <w:qFormat/>
    <w:uiPriority w:val="0"/>
    <w:pPr>
      <w:ind w:left="800" w:leftChars="800"/>
    </w:pPr>
    <w:rPr>
      <w:rFonts w:ascii="Times New Roman" w:hAnsi="Times New Roman"/>
    </w:rPr>
  </w:style>
  <w:style w:type="paragraph" w:styleId="9">
    <w:name w:val="Balloon Text"/>
    <w:basedOn w:val="1"/>
    <w:link w:val="18"/>
    <w:semiHidden/>
    <w:unhideWhenUsed/>
    <w:qFormat/>
    <w:uiPriority w:val="99"/>
    <w:rPr>
      <w:sz w:val="18"/>
      <w:szCs w:val="18"/>
    </w:rPr>
  </w:style>
  <w:style w:type="paragraph" w:styleId="10">
    <w:name w:val="footer"/>
    <w:basedOn w:val="1"/>
    <w:link w:val="15"/>
    <w:unhideWhenUsed/>
    <w:qFormat/>
    <w:uiPriority w:val="99"/>
    <w:pPr>
      <w:tabs>
        <w:tab w:val="center" w:pos="4153"/>
        <w:tab w:val="right" w:pos="8306"/>
      </w:tabs>
      <w:snapToGrid w:val="0"/>
      <w:jc w:val="left"/>
    </w:pPr>
    <w:rPr>
      <w:sz w:val="18"/>
      <w:szCs w:val="18"/>
    </w:rPr>
  </w:style>
  <w:style w:type="paragraph" w:styleId="11">
    <w:name w:val="footnote text"/>
    <w:basedOn w:val="1"/>
    <w:next w:val="7"/>
    <w:semiHidden/>
    <w:qFormat/>
    <w:uiPriority w:val="0"/>
    <w:pPr>
      <w:snapToGrid w:val="0"/>
      <w:jc w:val="left"/>
    </w:pPr>
    <w:rPr>
      <w:sz w:val="18"/>
      <w:szCs w:val="18"/>
    </w:rPr>
  </w:style>
  <w:style w:type="character" w:customStyle="1" w:styleId="14">
    <w:name w:val="页眉 Char"/>
    <w:basedOn w:val="13"/>
    <w:link w:val="3"/>
    <w:qFormat/>
    <w:uiPriority w:val="99"/>
    <w:rPr>
      <w:sz w:val="18"/>
      <w:szCs w:val="18"/>
    </w:rPr>
  </w:style>
  <w:style w:type="character" w:customStyle="1" w:styleId="15">
    <w:name w:val="页脚 Char"/>
    <w:basedOn w:val="13"/>
    <w:link w:val="10"/>
    <w:qFormat/>
    <w:uiPriority w:val="99"/>
    <w:rPr>
      <w:sz w:val="18"/>
      <w:szCs w:val="18"/>
    </w:rPr>
  </w:style>
  <w:style w:type="paragraph" w:customStyle="1" w:styleId="16">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7">
    <w:name w:val="List Paragraph"/>
    <w:basedOn w:val="1"/>
    <w:qFormat/>
    <w:uiPriority w:val="34"/>
    <w:pPr>
      <w:ind w:firstLine="420" w:firstLineChars="200"/>
    </w:pPr>
  </w:style>
  <w:style w:type="character" w:customStyle="1" w:styleId="18">
    <w:name w:val="批注框文本 Char"/>
    <w:basedOn w:val="13"/>
    <w:link w:val="9"/>
    <w:semiHidden/>
    <w:qFormat/>
    <w:uiPriority w:val="99"/>
    <w:rPr>
      <w:sz w:val="18"/>
      <w:szCs w:val="18"/>
    </w:rPr>
  </w:style>
  <w:style w:type="character" w:customStyle="1" w:styleId="19">
    <w:name w:val="font01"/>
    <w:basedOn w:val="13"/>
    <w:qFormat/>
    <w:uiPriority w:val="0"/>
    <w:rPr>
      <w:rFonts w:hint="eastAsia" w:ascii="宋体" w:hAnsi="宋体" w:eastAsia="宋体" w:cs="宋体"/>
      <w:color w:val="000000"/>
      <w:sz w:val="22"/>
      <w:szCs w:val="22"/>
      <w:u w:val="none"/>
    </w:rPr>
  </w:style>
  <w:style w:type="character" w:customStyle="1" w:styleId="20">
    <w:name w:val="font21"/>
    <w:basedOn w:val="13"/>
    <w:qFormat/>
    <w:uiPriority w:val="0"/>
    <w:rPr>
      <w:rFonts w:hint="eastAsia" w:ascii="宋体" w:hAnsi="宋体" w:eastAsia="宋体" w:cs="宋体"/>
      <w:color w:val="000000"/>
      <w:sz w:val="24"/>
      <w:szCs w:val="24"/>
      <w:u w:val="none"/>
    </w:rPr>
  </w:style>
  <w:style w:type="character" w:customStyle="1" w:styleId="21">
    <w:name w:val="font1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13847</Words>
  <Characters>15062</Characters>
  <Lines>63</Lines>
  <Paragraphs>18</Paragraphs>
  <TotalTime>6</TotalTime>
  <ScaleCrop>false</ScaleCrop>
  <LinksUpToDate>false</LinksUpToDate>
  <CharactersWithSpaces>15120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2020-07-05T10:32:00Z</dcterms:created>
  <dc:creator>李航 null</dc:creator>
  <cp:lastModifiedBy>lina</cp:lastModifiedBy>
  <cp:lastPrinted>2023-08-16T01:28:00Z</cp:lastPrinted>
  <dcterms:modified xsi:type="dcterms:W3CDTF">2025-10-11T01:30:12Z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39B453BBF4D940FA9EAAB88F97720180_12</vt:lpwstr>
  </property>
  <property fmtid="{D5CDD505-2E9C-101B-9397-08002B2CF9AE}" pid="4" name="KSOTemplateDocerSaveRecord">
    <vt:lpwstr>eyJoZGlkIjoiMWMyZjJlMWZhZTg0NTNkODYxZDYxYTcwZmQ0MmE2YTkiLCJ1c2VySWQiOiI1NTk3NzYxMDgifQ==</vt:lpwstr>
  </property>
</Properties>
</file>